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3151" w:rsidRPr="00B14A49" w:rsidRDefault="00A53151" w:rsidP="00A53151">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#90bis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w:t>
      </w:r>
      <w:r w:rsidR="00A5458D">
        <w:rPr>
          <w:rFonts w:cs="Arial"/>
          <w:bCs/>
          <w:sz w:val="22"/>
        </w:rPr>
        <w:t>78</w:t>
      </w:r>
      <w:r w:rsidR="001234CC">
        <w:rPr>
          <w:rFonts w:cs="Arial"/>
          <w:bCs/>
          <w:sz w:val="22"/>
        </w:rPr>
        <w:t>39</w:t>
      </w:r>
    </w:p>
    <w:p w:rsidR="00A53151" w:rsidRPr="005D47C0" w:rsidRDefault="00A53151" w:rsidP="00A53151">
      <w:pPr>
        <w:pStyle w:val="Header"/>
        <w:widowControl w:val="0"/>
        <w:tabs>
          <w:tab w:val="clear" w:pos="9072"/>
          <w:tab w:val="right" w:pos="8280"/>
          <w:tab w:val="right" w:pos="9781"/>
        </w:tabs>
        <w:snapToGrid w:val="0"/>
        <w:ind w:left="-2" w:right="-57"/>
        <w:rPr>
          <w:rFonts w:cs="Arial"/>
          <w:bCs/>
          <w:sz w:val="22"/>
        </w:rPr>
      </w:pPr>
      <w:r>
        <w:rPr>
          <w:rFonts w:cs="Arial"/>
          <w:bCs/>
          <w:sz w:val="22"/>
        </w:rPr>
        <w:t>Prague</w:t>
      </w:r>
      <w:r w:rsidRPr="00F2358D">
        <w:rPr>
          <w:rFonts w:cs="Arial"/>
          <w:bCs/>
          <w:sz w:val="22"/>
        </w:rPr>
        <w:t xml:space="preserve">, </w:t>
      </w:r>
      <w:r>
        <w:rPr>
          <w:rFonts w:cs="Arial"/>
          <w:bCs/>
          <w:sz w:val="22"/>
        </w:rPr>
        <w:t>Czechia, 9</w:t>
      </w:r>
      <w:r w:rsidRPr="008A4C0D">
        <w:rPr>
          <w:rFonts w:cs="Arial"/>
          <w:bCs/>
          <w:sz w:val="22"/>
          <w:vertAlign w:val="superscript"/>
        </w:rPr>
        <w:t>th</w:t>
      </w:r>
      <w:r>
        <w:rPr>
          <w:rFonts w:cs="Arial"/>
          <w:bCs/>
          <w:sz w:val="22"/>
        </w:rPr>
        <w:t xml:space="preserve"> – 13</w:t>
      </w:r>
      <w:r w:rsidRPr="008402BE">
        <w:rPr>
          <w:rFonts w:cs="Arial"/>
          <w:bCs/>
          <w:sz w:val="22"/>
          <w:vertAlign w:val="superscript"/>
        </w:rPr>
        <w:t>th</w:t>
      </w:r>
      <w:r>
        <w:rPr>
          <w:rFonts w:cs="Arial"/>
          <w:bCs/>
          <w:sz w:val="22"/>
        </w:rPr>
        <w:t xml:space="preserve"> October</w:t>
      </w:r>
      <w:r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1234CC" w:rsidRPr="001234CC">
        <w:rPr>
          <w:sz w:val="22"/>
          <w:szCs w:val="22"/>
        </w:rPr>
        <w:t>Remaining aspects of BWP operation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53151">
        <w:rPr>
          <w:sz w:val="22"/>
          <w:szCs w:val="22"/>
        </w:rPr>
        <w:t>7</w:t>
      </w:r>
      <w:r w:rsidR="001234CC">
        <w:rPr>
          <w:rFonts w:eastAsia="SimSun"/>
          <w:sz w:val="22"/>
          <w:szCs w:val="22"/>
          <w:lang w:eastAsia="zh-CN"/>
        </w:rPr>
        <w:t>.3.4.1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04B7A" w:rsidRPr="00A04B7A" w:rsidRDefault="003E382E" w:rsidP="003E382E">
      <w:pPr>
        <w:pStyle w:val="BodyText"/>
      </w:pPr>
      <w:r>
        <w:rPr>
          <w:rFonts w:eastAsia="SimSun"/>
          <w:lang w:eastAsia="zh-CN"/>
        </w:rPr>
        <w:t xml:space="preserve">Several remaining issues to finalize bandwidth part </w:t>
      </w:r>
      <w:r w:rsidR="00A31468">
        <w:rPr>
          <w:rFonts w:eastAsia="SimSun"/>
          <w:lang w:eastAsia="zh-CN"/>
        </w:rPr>
        <w:t xml:space="preserve">(BWP) </w:t>
      </w:r>
      <w:r>
        <w:rPr>
          <w:rFonts w:eastAsia="SimSun"/>
          <w:lang w:eastAsia="zh-CN"/>
        </w:rPr>
        <w:t xml:space="preserve">operation in Rel-15 were identified at the RAN1 AH #NR3 meeting </w:t>
      </w:r>
      <w:r w:rsidR="0054437B">
        <w:rPr>
          <w:rFonts w:eastAsia="SimSun"/>
          <w:lang w:eastAsia="zh-CN"/>
        </w:rPr>
        <w:fldChar w:fldCharType="begin"/>
      </w:r>
      <w:r>
        <w:rPr>
          <w:rFonts w:eastAsia="SimSun"/>
          <w:lang w:eastAsia="zh-CN"/>
        </w:rPr>
        <w:instrText xml:space="preserve"> REF _Ref494539557 \n \h </w:instrText>
      </w:r>
      <w:r w:rsidR="0054437B">
        <w:rPr>
          <w:rFonts w:eastAsia="SimSun"/>
          <w:lang w:eastAsia="zh-CN"/>
        </w:rPr>
      </w:r>
      <w:r w:rsidR="0054437B">
        <w:rPr>
          <w:rFonts w:eastAsia="SimSun"/>
          <w:lang w:eastAsia="zh-CN"/>
        </w:rPr>
        <w:fldChar w:fldCharType="separate"/>
      </w:r>
      <w:r>
        <w:rPr>
          <w:rFonts w:eastAsia="SimSun"/>
          <w:lang w:eastAsia="zh-CN"/>
        </w:rPr>
        <w:t>[1]</w:t>
      </w:r>
      <w:r w:rsidR="0054437B">
        <w:rPr>
          <w:rFonts w:eastAsia="SimSun"/>
          <w:lang w:eastAsia="zh-CN"/>
        </w:rPr>
        <w:fldChar w:fldCharType="end"/>
      </w:r>
      <w:r>
        <w:rPr>
          <w:rFonts w:eastAsia="SimSun"/>
          <w:lang w:eastAsia="zh-CN"/>
        </w:rPr>
        <w:t xml:space="preserve">. Consensus was reached on a few of these issues resulting in the following agreements: </w:t>
      </w:r>
    </w:p>
    <w:p w:rsidR="003E382E" w:rsidRPr="00605099" w:rsidRDefault="003E382E" w:rsidP="003E382E">
      <w:r w:rsidRPr="00605099">
        <w:rPr>
          <w:highlight w:val="green"/>
        </w:rPr>
        <w:t>Agreements:</w:t>
      </w:r>
    </w:p>
    <w:p w:rsidR="003E382E" w:rsidRPr="00605099" w:rsidRDefault="003E382E" w:rsidP="003E382E">
      <w:pPr>
        <w:numPr>
          <w:ilvl w:val="0"/>
          <w:numId w:val="35"/>
        </w:numPr>
        <w:tabs>
          <w:tab w:val="left" w:pos="720"/>
        </w:tabs>
      </w:pPr>
      <w:r w:rsidRPr="00605099">
        <w:t>In Rel-15, for a UE, there is at most one active DL BWP and at most one active UL BWP at a given time for a serving cell</w:t>
      </w:r>
    </w:p>
    <w:p w:rsidR="003E382E" w:rsidRPr="00FA1088" w:rsidRDefault="003E382E" w:rsidP="003E382E">
      <w:pPr>
        <w:numPr>
          <w:ilvl w:val="0"/>
          <w:numId w:val="35"/>
        </w:numPr>
        <w:tabs>
          <w:tab w:val="left" w:pos="720"/>
        </w:tabs>
      </w:pPr>
      <w:r w:rsidRPr="00FA1088">
        <w:t>For each UE-specific serving cell, one or more DL BWPs and one or more UL BWPs can be configured by dedicated RRC for a UE</w:t>
      </w:r>
    </w:p>
    <w:p w:rsidR="003E382E" w:rsidRPr="00FA1088" w:rsidRDefault="003E382E" w:rsidP="003E382E">
      <w:pPr>
        <w:numPr>
          <w:ilvl w:val="1"/>
          <w:numId w:val="35"/>
        </w:numPr>
        <w:tabs>
          <w:tab w:val="left" w:pos="720"/>
        </w:tabs>
      </w:pPr>
      <w:r w:rsidRPr="00FA1088">
        <w:t>FFS association of DL BWP and UL BWP</w:t>
      </w:r>
    </w:p>
    <w:p w:rsidR="003E382E" w:rsidRPr="00FA1088" w:rsidRDefault="003E382E" w:rsidP="003E382E">
      <w:pPr>
        <w:numPr>
          <w:ilvl w:val="1"/>
          <w:numId w:val="35"/>
        </w:numPr>
        <w:tabs>
          <w:tab w:val="left" w:pos="720"/>
        </w:tabs>
      </w:pPr>
      <w:r w:rsidRPr="00FA1088">
        <w:t>FFS definition of an active cell in relation to DL BWP and UL BWP, whether or not there are cross-cell/cross-BWP interactions</w:t>
      </w:r>
    </w:p>
    <w:p w:rsidR="003E382E" w:rsidRPr="00F44E32" w:rsidRDefault="003E382E" w:rsidP="003E382E">
      <w:pPr>
        <w:numPr>
          <w:ilvl w:val="0"/>
          <w:numId w:val="35"/>
        </w:numPr>
        <w:tabs>
          <w:tab w:val="left" w:pos="720"/>
        </w:tabs>
      </w:pPr>
      <w:r w:rsidRPr="00F44E32">
        <w:t>NR supports the case that a single scheduling DCI can switch the UE’s active BWP from one to another (of the same link direction) within a given serving cell</w:t>
      </w:r>
    </w:p>
    <w:p w:rsidR="003E382E" w:rsidRPr="00F44E32" w:rsidRDefault="003E382E" w:rsidP="003E382E">
      <w:pPr>
        <w:numPr>
          <w:ilvl w:val="1"/>
          <w:numId w:val="35"/>
        </w:numPr>
        <w:spacing w:after="240"/>
        <w:rPr>
          <w:lang w:eastAsia="zh-TW"/>
        </w:rPr>
      </w:pPr>
      <w:r w:rsidRPr="00F44E32">
        <w:rPr>
          <w:lang w:eastAsia="zh-TW"/>
        </w:rPr>
        <w:t>FFS whether &amp; how for active BWP switching only without scheduling (including the case of UL scheduling without UL-SCH)</w:t>
      </w:r>
    </w:p>
    <w:p w:rsidR="00A04B7A" w:rsidRDefault="00A04B7A" w:rsidP="00423654">
      <w:pPr>
        <w:pStyle w:val="BodyText"/>
        <w:rPr>
          <w:rFonts w:eastAsia="SimSun"/>
          <w:lang w:eastAsia="zh-CN"/>
        </w:rPr>
      </w:pPr>
      <w:r>
        <w:rPr>
          <w:rFonts w:eastAsia="SimSun"/>
          <w:lang w:eastAsia="zh-CN"/>
        </w:rPr>
        <w:t xml:space="preserve">This contribution addresses </w:t>
      </w:r>
      <w:r w:rsidR="003E382E">
        <w:rPr>
          <w:rFonts w:eastAsia="SimSun"/>
          <w:lang w:eastAsia="zh-CN"/>
        </w:rPr>
        <w:t xml:space="preserve">the remaining open issues as can be seen from these agreements and also those captured in the summary document </w:t>
      </w:r>
      <w:r w:rsidR="0054437B">
        <w:rPr>
          <w:rFonts w:eastAsia="SimSun"/>
          <w:lang w:eastAsia="zh-CN"/>
        </w:rPr>
        <w:fldChar w:fldCharType="begin"/>
      </w:r>
      <w:r w:rsidR="003E382E">
        <w:rPr>
          <w:rFonts w:eastAsia="SimSun"/>
          <w:lang w:eastAsia="zh-CN"/>
        </w:rPr>
        <w:instrText xml:space="preserve"> REF _Ref494539557 \n \h </w:instrText>
      </w:r>
      <w:r w:rsidR="0054437B">
        <w:rPr>
          <w:rFonts w:eastAsia="SimSun"/>
          <w:lang w:eastAsia="zh-CN"/>
        </w:rPr>
      </w:r>
      <w:r w:rsidR="0054437B">
        <w:rPr>
          <w:rFonts w:eastAsia="SimSun"/>
          <w:lang w:eastAsia="zh-CN"/>
        </w:rPr>
        <w:fldChar w:fldCharType="separate"/>
      </w:r>
      <w:r w:rsidR="003E382E">
        <w:rPr>
          <w:rFonts w:eastAsia="SimSun"/>
          <w:lang w:eastAsia="zh-CN"/>
        </w:rPr>
        <w:t>[1]</w:t>
      </w:r>
      <w:r w:rsidR="0054437B">
        <w:rPr>
          <w:rFonts w:eastAsia="SimSun"/>
          <w:lang w:eastAsia="zh-CN"/>
        </w:rPr>
        <w:fldChar w:fldCharType="end"/>
      </w:r>
      <w:r w:rsidR="005560F6">
        <w:rPr>
          <w:rFonts w:eastAsia="SimSun"/>
          <w:lang w:eastAsia="zh-CN"/>
        </w:rPr>
        <w:t xml:space="preserve">.  </w:t>
      </w:r>
    </w:p>
    <w:p w:rsidR="004B2628" w:rsidRDefault="004B2628" w:rsidP="00423654">
      <w:pPr>
        <w:pStyle w:val="BodyText"/>
        <w:rPr>
          <w:rFonts w:eastAsia="SimSun"/>
          <w:lang w:eastAsia="zh-CN"/>
        </w:rPr>
      </w:pPr>
    </w:p>
    <w:p w:rsidR="004B2628" w:rsidRDefault="003E382E" w:rsidP="004B2628">
      <w:pPr>
        <w:pStyle w:val="Heading1"/>
      </w:pPr>
      <w:r>
        <w:t>Discussion</w:t>
      </w:r>
    </w:p>
    <w:p w:rsidR="00125169" w:rsidRDefault="00DF3813" w:rsidP="00125169">
      <w:pPr>
        <w:pStyle w:val="Heading2"/>
      </w:pPr>
      <w:r>
        <w:t>BWP configuration and r</w:t>
      </w:r>
      <w:r w:rsidR="003E382E">
        <w:t>elationship between CA and BWP</w:t>
      </w:r>
    </w:p>
    <w:p w:rsidR="00AE5F19" w:rsidRDefault="00A31468" w:rsidP="00125169">
      <w:pPr>
        <w:jc w:val="both"/>
        <w:rPr>
          <w:rFonts w:eastAsia="SimSun"/>
          <w:lang w:eastAsia="zh-CN"/>
        </w:rPr>
      </w:pPr>
      <w:r>
        <w:rPr>
          <w:rFonts w:eastAsia="SimSun"/>
          <w:lang w:eastAsia="zh-CN"/>
        </w:rPr>
        <w:t xml:space="preserve">There are many similarities between CA operation and BWP operation, which may help resolve some open issues with BWP operation. In LTE </w:t>
      </w:r>
      <w:r w:rsidRPr="00A31468">
        <w:rPr>
          <w:rFonts w:eastAsia="SimSun"/>
          <w:lang w:eastAsia="zh-CN"/>
        </w:rPr>
        <w:t xml:space="preserve">CA a UE can be configured with multiple </w:t>
      </w:r>
      <w:r w:rsidR="005E1D52">
        <w:rPr>
          <w:rFonts w:eastAsia="SimSun"/>
          <w:lang w:eastAsia="zh-CN"/>
        </w:rPr>
        <w:t xml:space="preserve">secondary </w:t>
      </w:r>
      <w:r w:rsidRPr="00A31468">
        <w:rPr>
          <w:rFonts w:eastAsia="SimSun"/>
          <w:lang w:eastAsia="zh-CN"/>
        </w:rPr>
        <w:t xml:space="preserve">serving cells, where each </w:t>
      </w:r>
      <w:r>
        <w:rPr>
          <w:rFonts w:eastAsia="SimSun"/>
          <w:lang w:eastAsia="zh-CN"/>
        </w:rPr>
        <w:t>SC</w:t>
      </w:r>
      <w:r w:rsidRPr="00A31468">
        <w:rPr>
          <w:rFonts w:eastAsia="SimSun"/>
          <w:lang w:eastAsia="zh-CN"/>
        </w:rPr>
        <w:t>ell contains a DL resource (on a DL component carrier)</w:t>
      </w:r>
      <w:r>
        <w:rPr>
          <w:rFonts w:eastAsia="SimSun"/>
          <w:lang w:eastAsia="zh-CN"/>
        </w:rPr>
        <w:t xml:space="preserve"> and a configurable UL resource (i.e. the UL resource may or may not be configured). </w:t>
      </w:r>
      <w:r w:rsidR="005F0351">
        <w:rPr>
          <w:rFonts w:eastAsia="SimSun"/>
          <w:lang w:eastAsia="zh-CN"/>
        </w:rPr>
        <w:t>For FDD, the UL resource is on the paired UL carrier, whereas for TDD</w:t>
      </w:r>
      <w:r w:rsidR="005E1D52">
        <w:rPr>
          <w:rFonts w:eastAsia="SimSun"/>
          <w:lang w:eastAsia="zh-CN"/>
        </w:rPr>
        <w:t>,</w:t>
      </w:r>
      <w:r w:rsidR="005F0351">
        <w:rPr>
          <w:rFonts w:eastAsia="SimSun"/>
          <w:lang w:eastAsia="zh-CN"/>
        </w:rPr>
        <w:t xml:space="preserve"> DL and UL resources are </w:t>
      </w:r>
      <w:r w:rsidR="005E1D52">
        <w:rPr>
          <w:rFonts w:eastAsia="SimSun"/>
          <w:lang w:eastAsia="zh-CN"/>
        </w:rPr>
        <w:t>configured</w:t>
      </w:r>
      <w:r w:rsidR="005F0351">
        <w:rPr>
          <w:rFonts w:eastAsia="SimSun"/>
          <w:lang w:eastAsia="zh-CN"/>
        </w:rPr>
        <w:t xml:space="preserve"> on a shared carrier. </w:t>
      </w:r>
      <w:r>
        <w:rPr>
          <w:rFonts w:eastAsia="SimSun"/>
          <w:lang w:eastAsia="zh-CN"/>
        </w:rPr>
        <w:t>UCI corresponding to a SCell is transmitted on the PUCCH of the PCell except the UE is configured with more than one PUCCH group</w:t>
      </w:r>
      <w:r w:rsidR="005F0351">
        <w:rPr>
          <w:rFonts w:eastAsia="SimSun"/>
          <w:lang w:eastAsia="zh-CN"/>
        </w:rPr>
        <w:t xml:space="preserve"> in which case it is transmitted on the PUCCH-cell</w:t>
      </w:r>
      <w:r w:rsidR="005E1D52">
        <w:rPr>
          <w:rFonts w:eastAsia="SimSun"/>
          <w:lang w:eastAsia="zh-CN"/>
        </w:rPr>
        <w:t xml:space="preserve"> for each group</w:t>
      </w:r>
      <w:r>
        <w:rPr>
          <w:rFonts w:eastAsia="SimSun"/>
          <w:lang w:eastAsia="zh-CN"/>
        </w:rPr>
        <w:t xml:space="preserve">. </w:t>
      </w:r>
      <w:r w:rsidR="00AE5F19">
        <w:rPr>
          <w:rFonts w:eastAsia="SimSun"/>
          <w:lang w:eastAsia="zh-CN"/>
        </w:rPr>
        <w:t>Furthermore, a serving cell is activated by explicit signaling and can be deactivated by explicit signaling or by a timer.</w:t>
      </w:r>
    </w:p>
    <w:p w:rsidR="00323A25" w:rsidRDefault="00AE5F19" w:rsidP="00125169">
      <w:pPr>
        <w:jc w:val="both"/>
        <w:rPr>
          <w:rFonts w:eastAsia="SimSun"/>
          <w:lang w:eastAsia="zh-CN"/>
        </w:rPr>
      </w:pPr>
      <w:r>
        <w:rPr>
          <w:rFonts w:eastAsia="SimSun"/>
          <w:lang w:eastAsia="zh-CN"/>
        </w:rPr>
        <w:t xml:space="preserve"> </w:t>
      </w:r>
    </w:p>
    <w:p w:rsidR="00AE5F19" w:rsidRDefault="00AE5F19" w:rsidP="00125169">
      <w:pPr>
        <w:jc w:val="both"/>
        <w:rPr>
          <w:rFonts w:eastAsia="SimSun"/>
          <w:lang w:eastAsia="zh-CN"/>
        </w:rPr>
      </w:pPr>
      <w:r>
        <w:rPr>
          <w:rFonts w:eastAsia="SimSun"/>
          <w:lang w:eastAsia="zh-CN"/>
        </w:rPr>
        <w:t xml:space="preserve">Similar mechanisms </w:t>
      </w:r>
      <w:r w:rsidR="005E1D52">
        <w:rPr>
          <w:rFonts w:eastAsia="SimSun"/>
          <w:lang w:eastAsia="zh-CN"/>
        </w:rPr>
        <w:t xml:space="preserve">as in CA </w:t>
      </w:r>
      <w:r>
        <w:rPr>
          <w:rFonts w:eastAsia="SimSun"/>
          <w:lang w:eastAsia="zh-CN"/>
        </w:rPr>
        <w:t xml:space="preserve">have been </w:t>
      </w:r>
      <w:r w:rsidR="001F6CDB">
        <w:rPr>
          <w:rFonts w:eastAsia="SimSun"/>
          <w:lang w:eastAsia="zh-CN"/>
        </w:rPr>
        <w:t xml:space="preserve">agreed, and are being </w:t>
      </w:r>
      <w:r>
        <w:rPr>
          <w:rFonts w:eastAsia="SimSun"/>
          <w:lang w:eastAsia="zh-CN"/>
        </w:rPr>
        <w:t>proposed, for BWP operation in a single serving cell. For a given serving cell, a configured DL BWP should be associated with an UL BWP</w:t>
      </w:r>
      <w:r w:rsidR="005E1D52">
        <w:rPr>
          <w:rFonts w:eastAsia="SimSun"/>
          <w:lang w:eastAsia="zh-CN"/>
        </w:rPr>
        <w:t>, at least</w:t>
      </w:r>
      <w:r>
        <w:rPr>
          <w:rFonts w:eastAsia="SimSun"/>
          <w:lang w:eastAsia="zh-CN"/>
        </w:rPr>
        <w:t xml:space="preserve"> for the purpose of UCI transmission. Another open issue is whether there can be more configured UL BWPs than DL BWPs</w:t>
      </w:r>
      <w:r w:rsidR="001F6CDB">
        <w:rPr>
          <w:rFonts w:eastAsia="SimSun"/>
          <w:lang w:eastAsia="zh-CN"/>
        </w:rPr>
        <w:t xml:space="preserve"> and the related question of what constitutes an active serving cell with relation to DL and UL BWPs</w:t>
      </w:r>
      <w:r>
        <w:rPr>
          <w:rFonts w:eastAsia="SimSun"/>
          <w:lang w:eastAsia="zh-CN"/>
        </w:rPr>
        <w:t>. To resolve th</w:t>
      </w:r>
      <w:r w:rsidR="001F6CDB">
        <w:rPr>
          <w:rFonts w:eastAsia="SimSun"/>
          <w:lang w:eastAsia="zh-CN"/>
        </w:rPr>
        <w:t xml:space="preserve">ese </w:t>
      </w:r>
      <w:r>
        <w:rPr>
          <w:rFonts w:eastAsia="SimSun"/>
          <w:lang w:eastAsia="zh-CN"/>
        </w:rPr>
        <w:t>question</w:t>
      </w:r>
      <w:r w:rsidR="001F6CDB">
        <w:rPr>
          <w:rFonts w:eastAsia="SimSun"/>
          <w:lang w:eastAsia="zh-CN"/>
        </w:rPr>
        <w:t>s</w:t>
      </w:r>
      <w:r>
        <w:rPr>
          <w:rFonts w:eastAsia="SimSun"/>
          <w:lang w:eastAsia="zh-CN"/>
        </w:rPr>
        <w:t xml:space="preserve"> we consider the use cases motivating BWP operation,</w:t>
      </w:r>
    </w:p>
    <w:p w:rsidR="00AE5F19" w:rsidRDefault="00AE5F19" w:rsidP="00125169">
      <w:pPr>
        <w:jc w:val="both"/>
        <w:rPr>
          <w:rFonts w:eastAsia="SimSun"/>
          <w:lang w:eastAsia="zh-CN"/>
        </w:rPr>
      </w:pPr>
    </w:p>
    <w:p w:rsidR="00AE5F19" w:rsidRDefault="00AE5F19" w:rsidP="00AE5F19">
      <w:pPr>
        <w:numPr>
          <w:ilvl w:val="0"/>
          <w:numId w:val="36"/>
        </w:numPr>
        <w:jc w:val="both"/>
        <w:rPr>
          <w:lang w:eastAsia="zh-TW"/>
        </w:rPr>
      </w:pPr>
      <w:r>
        <w:rPr>
          <w:lang w:eastAsia="zh-TW"/>
        </w:rPr>
        <w:t xml:space="preserve">Use case 1: </w:t>
      </w:r>
      <w:r>
        <w:rPr>
          <w:rFonts w:hint="eastAsia"/>
          <w:lang w:eastAsia="zh-TW"/>
        </w:rPr>
        <w:t>Enabling reduced UE bandwidth capability within a wideband carrier</w:t>
      </w:r>
    </w:p>
    <w:p w:rsidR="00AE5F19" w:rsidRDefault="00AE5F19" w:rsidP="00AE5F19">
      <w:pPr>
        <w:numPr>
          <w:ilvl w:val="0"/>
          <w:numId w:val="36"/>
        </w:numPr>
        <w:rPr>
          <w:lang w:eastAsia="zh-TW"/>
        </w:rPr>
      </w:pPr>
      <w:r>
        <w:rPr>
          <w:lang w:eastAsia="zh-TW"/>
        </w:rPr>
        <w:t xml:space="preserve">Use case 2: </w:t>
      </w:r>
      <w:r>
        <w:rPr>
          <w:rFonts w:hint="eastAsia"/>
          <w:lang w:eastAsia="zh-TW"/>
        </w:rPr>
        <w:t xml:space="preserve">Enabling </w:t>
      </w:r>
      <w:r w:rsidR="005F0351">
        <w:rPr>
          <w:lang w:eastAsia="zh-TW"/>
        </w:rPr>
        <w:t xml:space="preserve">reduced UE power </w:t>
      </w:r>
      <w:r>
        <w:rPr>
          <w:lang w:eastAsia="zh-TW"/>
        </w:rPr>
        <w:t>consumption by bandwidth adaptation</w:t>
      </w:r>
    </w:p>
    <w:p w:rsidR="00AE5F19" w:rsidRPr="00C7057B" w:rsidRDefault="00AE5F19" w:rsidP="00AE5F19">
      <w:pPr>
        <w:numPr>
          <w:ilvl w:val="0"/>
          <w:numId w:val="36"/>
        </w:numPr>
        <w:rPr>
          <w:lang w:eastAsia="zh-TW"/>
        </w:rPr>
      </w:pPr>
      <w:r>
        <w:rPr>
          <w:lang w:eastAsia="zh-TW"/>
        </w:rPr>
        <w:t>Use case 3: Enabling UE using different numerologies in FDM within a wideband carrier</w:t>
      </w:r>
    </w:p>
    <w:p w:rsidR="00AE5F19" w:rsidRDefault="00AE5F19" w:rsidP="00125169">
      <w:pPr>
        <w:jc w:val="both"/>
        <w:rPr>
          <w:rFonts w:eastAsia="SimSun"/>
          <w:lang w:eastAsia="zh-CN"/>
        </w:rPr>
      </w:pPr>
    </w:p>
    <w:p w:rsidR="002379AF" w:rsidRDefault="00AE5F19" w:rsidP="00AE5F19">
      <w:pPr>
        <w:jc w:val="both"/>
        <w:rPr>
          <w:rFonts w:eastAsia="SimSun"/>
          <w:lang w:eastAsia="zh-CN"/>
        </w:rPr>
      </w:pPr>
      <w:r>
        <w:rPr>
          <w:rFonts w:eastAsia="SimSun"/>
          <w:lang w:eastAsia="zh-CN"/>
        </w:rPr>
        <w:t xml:space="preserve">The third use case was primarily motivated by multiple active BWP operation, which is now de-prioritized for Rel-15. For the first and second use cases, </w:t>
      </w:r>
      <w:r w:rsidR="005F0351">
        <w:rPr>
          <w:rFonts w:eastAsia="SimSun"/>
          <w:lang w:eastAsia="zh-CN"/>
        </w:rPr>
        <w:t>we have not found a compelling case to configure more UL B</w:t>
      </w:r>
      <w:r w:rsidR="001F6CDB">
        <w:rPr>
          <w:rFonts w:eastAsia="SimSun"/>
          <w:lang w:eastAsia="zh-CN"/>
        </w:rPr>
        <w:t>WPs compared to DL</w:t>
      </w:r>
      <w:r>
        <w:rPr>
          <w:rFonts w:eastAsia="SimSun"/>
          <w:lang w:eastAsia="zh-CN"/>
        </w:rPr>
        <w:t xml:space="preserve"> BWPs.</w:t>
      </w:r>
      <w:r w:rsidR="001F6CDB">
        <w:rPr>
          <w:rFonts w:eastAsia="SimSun"/>
          <w:lang w:eastAsia="zh-CN"/>
        </w:rPr>
        <w:t xml:space="preserve"> </w:t>
      </w:r>
      <w:r w:rsidR="005F0351">
        <w:rPr>
          <w:rFonts w:eastAsia="SimSun"/>
          <w:lang w:eastAsia="zh-CN"/>
        </w:rPr>
        <w:t xml:space="preserve">Thus, </w:t>
      </w:r>
      <w:r w:rsidR="001F6CDB">
        <w:rPr>
          <w:rFonts w:eastAsia="SimSun"/>
          <w:lang w:eastAsia="zh-CN"/>
        </w:rPr>
        <w:t>it is not clear that a serving cell should be activated solely for the purpose of using UL resources on the SCell and no DL (</w:t>
      </w:r>
      <w:r w:rsidR="005F0351">
        <w:rPr>
          <w:rFonts w:eastAsia="SimSun"/>
          <w:lang w:eastAsia="zh-CN"/>
        </w:rPr>
        <w:t>setting aside SUL operation</w:t>
      </w:r>
      <w:r w:rsidR="001F6CDB">
        <w:rPr>
          <w:rFonts w:eastAsia="SimSun"/>
          <w:lang w:eastAsia="zh-CN"/>
        </w:rPr>
        <w:t xml:space="preserve">). At least for </w:t>
      </w:r>
      <w:r w:rsidR="005E1D52">
        <w:rPr>
          <w:rFonts w:eastAsia="SimSun"/>
          <w:lang w:eastAsia="zh-CN"/>
        </w:rPr>
        <w:t>an unpaired carrier (</w:t>
      </w:r>
      <w:r w:rsidR="001F6CDB">
        <w:rPr>
          <w:rFonts w:eastAsia="SimSun"/>
          <w:lang w:eastAsia="zh-CN"/>
        </w:rPr>
        <w:t>TDD</w:t>
      </w:r>
      <w:r w:rsidR="005E1D52">
        <w:rPr>
          <w:rFonts w:eastAsia="SimSun"/>
          <w:lang w:eastAsia="zh-CN"/>
        </w:rPr>
        <w:t>)</w:t>
      </w:r>
      <w:r w:rsidR="005F0351">
        <w:rPr>
          <w:rFonts w:eastAsia="SimSun"/>
          <w:lang w:eastAsia="zh-CN"/>
        </w:rPr>
        <w:t>,</w:t>
      </w:r>
      <w:r w:rsidR="001F6CDB">
        <w:rPr>
          <w:rFonts w:eastAsia="SimSun"/>
          <w:lang w:eastAsia="zh-CN"/>
        </w:rPr>
        <w:t xml:space="preserve"> DL</w:t>
      </w:r>
      <w:r w:rsidR="005E1D52">
        <w:rPr>
          <w:rFonts w:eastAsia="SimSun"/>
          <w:lang w:eastAsia="zh-CN"/>
        </w:rPr>
        <w:t xml:space="preserve"> </w:t>
      </w:r>
      <w:r w:rsidR="005E1D52">
        <w:rPr>
          <w:rFonts w:eastAsia="SimSun"/>
          <w:lang w:eastAsia="zh-CN"/>
        </w:rPr>
        <w:lastRenderedPageBreak/>
        <w:t xml:space="preserve">transmission is possible and also useful for DL </w:t>
      </w:r>
      <w:r w:rsidR="001F6CDB">
        <w:rPr>
          <w:rFonts w:eastAsia="SimSun"/>
          <w:lang w:eastAsia="zh-CN"/>
        </w:rPr>
        <w:t xml:space="preserve">measurements </w:t>
      </w:r>
      <w:r w:rsidR="005E1D52">
        <w:rPr>
          <w:rFonts w:eastAsia="SimSun"/>
          <w:lang w:eastAsia="zh-CN"/>
        </w:rPr>
        <w:t xml:space="preserve">for link adaptation, RRM and path loss determination for </w:t>
      </w:r>
      <w:r w:rsidR="001F6CDB">
        <w:rPr>
          <w:rFonts w:eastAsia="SimSun"/>
          <w:lang w:eastAsia="zh-CN"/>
        </w:rPr>
        <w:t xml:space="preserve">UL power control. </w:t>
      </w:r>
      <w:r w:rsidR="002379AF">
        <w:rPr>
          <w:rFonts w:eastAsia="SimSun"/>
          <w:lang w:eastAsia="zh-CN"/>
        </w:rPr>
        <w:t xml:space="preserve">Therefore, </w:t>
      </w:r>
      <w:r w:rsidR="005F0351">
        <w:rPr>
          <w:rFonts w:eastAsia="SimSun"/>
          <w:lang w:eastAsia="zh-CN"/>
        </w:rPr>
        <w:t xml:space="preserve">if a SCell is activated for a UE, </w:t>
      </w:r>
      <w:r w:rsidR="002379AF">
        <w:rPr>
          <w:rFonts w:eastAsia="SimSun"/>
          <w:lang w:eastAsia="zh-CN"/>
        </w:rPr>
        <w:t xml:space="preserve">a default DL BWP </w:t>
      </w:r>
      <w:r w:rsidR="005F0351">
        <w:rPr>
          <w:rFonts w:eastAsia="SimSun"/>
          <w:lang w:eastAsia="zh-CN"/>
        </w:rPr>
        <w:t xml:space="preserve">is also activated, </w:t>
      </w:r>
      <w:r w:rsidR="002379AF">
        <w:rPr>
          <w:rFonts w:eastAsia="SimSun"/>
          <w:lang w:eastAsia="zh-CN"/>
        </w:rPr>
        <w:t xml:space="preserve">and if </w:t>
      </w:r>
      <w:r w:rsidR="005F0351">
        <w:rPr>
          <w:rFonts w:eastAsia="SimSun"/>
          <w:lang w:eastAsia="zh-CN"/>
        </w:rPr>
        <w:t>the U</w:t>
      </w:r>
      <w:r w:rsidR="002379AF">
        <w:rPr>
          <w:rFonts w:eastAsia="SimSun"/>
          <w:lang w:eastAsia="zh-CN"/>
        </w:rPr>
        <w:t>E is configured for UL transmission in same cell, a default UL BWP</w:t>
      </w:r>
      <w:r w:rsidR="005F0351">
        <w:rPr>
          <w:rFonts w:eastAsia="SimSun"/>
          <w:lang w:eastAsia="zh-CN"/>
        </w:rPr>
        <w:t xml:space="preserve"> is activated</w:t>
      </w:r>
      <w:r w:rsidR="002379AF">
        <w:rPr>
          <w:rFonts w:eastAsia="SimSun"/>
          <w:lang w:eastAsia="zh-CN"/>
        </w:rPr>
        <w:t>.</w:t>
      </w:r>
    </w:p>
    <w:p w:rsidR="002379AF" w:rsidRDefault="002379AF" w:rsidP="00AE5F19">
      <w:pPr>
        <w:jc w:val="both"/>
        <w:rPr>
          <w:rFonts w:eastAsia="SimSun"/>
          <w:lang w:eastAsia="zh-CN"/>
        </w:rPr>
      </w:pPr>
    </w:p>
    <w:p w:rsidR="005E1D52" w:rsidRDefault="002379AF" w:rsidP="00AE5F19">
      <w:pPr>
        <w:jc w:val="both"/>
        <w:rPr>
          <w:rFonts w:eastAsia="SimSun"/>
          <w:b/>
          <w:lang w:eastAsia="zh-CN"/>
        </w:rPr>
      </w:pPr>
      <w:r w:rsidRPr="00DF3813">
        <w:rPr>
          <w:rFonts w:eastAsia="SimSun"/>
          <w:b/>
          <w:lang w:eastAsia="zh-CN"/>
        </w:rPr>
        <w:t>Proposal 1: If a configured SCell is activated for a UE</w:t>
      </w:r>
    </w:p>
    <w:p w:rsidR="004E4EB9" w:rsidRDefault="004E4EB9" w:rsidP="005E1D52">
      <w:pPr>
        <w:pStyle w:val="ListParagraph"/>
        <w:numPr>
          <w:ilvl w:val="0"/>
          <w:numId w:val="39"/>
        </w:numPr>
        <w:ind w:firstLineChars="0"/>
        <w:jc w:val="both"/>
        <w:rPr>
          <w:rFonts w:ascii="Times New Roman" w:hAnsi="Times New Roman" w:cs="Times New Roman"/>
          <w:b/>
          <w:sz w:val="20"/>
        </w:rPr>
      </w:pPr>
      <w:r>
        <w:rPr>
          <w:rFonts w:ascii="Times New Roman" w:hAnsi="Times New Roman" w:cs="Times New Roman"/>
          <w:b/>
          <w:sz w:val="20"/>
        </w:rPr>
        <w:t>A DL BWP is associated with an UL BWP at least for the purpose of PUCCH transmission.</w:t>
      </w:r>
    </w:p>
    <w:p w:rsidR="005E1D52" w:rsidRPr="004E4EB9" w:rsidRDefault="005E1D52" w:rsidP="004E4EB9">
      <w:pPr>
        <w:pStyle w:val="ListParagraph"/>
        <w:numPr>
          <w:ilvl w:val="0"/>
          <w:numId w:val="39"/>
        </w:numPr>
        <w:ind w:firstLineChars="0"/>
        <w:jc w:val="both"/>
        <w:rPr>
          <w:rFonts w:ascii="Times New Roman" w:hAnsi="Times New Roman" w:cs="Times New Roman"/>
          <w:b/>
          <w:sz w:val="20"/>
        </w:rPr>
      </w:pPr>
      <w:r w:rsidRPr="005E1D52">
        <w:rPr>
          <w:rFonts w:ascii="Times New Roman" w:hAnsi="Times New Roman" w:cs="Times New Roman"/>
          <w:b/>
          <w:sz w:val="20"/>
        </w:rPr>
        <w:t>A</w:t>
      </w:r>
      <w:r w:rsidR="002379AF" w:rsidRPr="005E1D52">
        <w:rPr>
          <w:rFonts w:ascii="Times New Roman" w:hAnsi="Times New Roman" w:cs="Times New Roman"/>
          <w:b/>
          <w:sz w:val="20"/>
        </w:rPr>
        <w:t xml:space="preserve"> default DL BWP is also activated. If the UE is configured for UL transmission in same serving cell, a default UL BWP is activated.  </w:t>
      </w:r>
    </w:p>
    <w:p w:rsidR="00DF3813" w:rsidRPr="005E1D52" w:rsidRDefault="00DF3813" w:rsidP="00AE5F19">
      <w:pPr>
        <w:jc w:val="both"/>
        <w:rPr>
          <w:rFonts w:eastAsia="SimSun"/>
          <w:b/>
          <w:sz w:val="16"/>
          <w:lang w:eastAsia="zh-CN"/>
        </w:rPr>
      </w:pPr>
    </w:p>
    <w:p w:rsidR="000B74E8" w:rsidRDefault="00DF3813" w:rsidP="002D4467">
      <w:pPr>
        <w:jc w:val="both"/>
        <w:rPr>
          <w:rFonts w:eastAsia="SimSun"/>
          <w:lang w:eastAsia="zh-CN"/>
        </w:rPr>
      </w:pPr>
      <w:r w:rsidRPr="005F0351">
        <w:rPr>
          <w:rFonts w:eastAsia="SimSun"/>
          <w:lang w:eastAsia="zh-CN"/>
        </w:rPr>
        <w:t>Another open issue from the previous RAN1 meeting is the maximum number of DL or UL BWPs that can be configured in</w:t>
      </w:r>
      <w:r w:rsidR="000B74E8">
        <w:rPr>
          <w:rFonts w:eastAsia="SimSun"/>
          <w:lang w:eastAsia="zh-CN"/>
        </w:rPr>
        <w:t xml:space="preserve"> a serving cell. From the perspective of BWP adaptation, the </w:t>
      </w:r>
      <w:r w:rsidR="000B74E8">
        <w:rPr>
          <w:rFonts w:eastAsia="SimSun"/>
          <w:lang w:eastAsia="zh-CN"/>
        </w:rPr>
        <w:t xml:space="preserve">maximum number of BWPs </w:t>
      </w:r>
      <w:r w:rsidR="000B74E8">
        <w:rPr>
          <w:rFonts w:eastAsia="SimSun"/>
          <w:lang w:eastAsia="zh-CN"/>
        </w:rPr>
        <w:t>that can be supported depends on the UE minimum BW capability. For example, in LTE, non-eMTC/NB-IoT UEs support 20 MHz system BW. For NR the minimum BW capability would be decided by RAN4 (note that this is not the same as the minimum carrier bandwidth). This capability can be used to determine the maximum number of BWPs that can be configured for a UE.</w:t>
      </w:r>
    </w:p>
    <w:p w:rsidR="000B74E8" w:rsidRDefault="000B74E8" w:rsidP="002D4467">
      <w:pPr>
        <w:jc w:val="both"/>
        <w:rPr>
          <w:rFonts w:eastAsia="SimSun"/>
          <w:lang w:eastAsia="zh-CN"/>
        </w:rPr>
      </w:pPr>
    </w:p>
    <w:p w:rsidR="002D4467" w:rsidRPr="002D4467" w:rsidRDefault="002D4467" w:rsidP="002D4467">
      <w:pPr>
        <w:jc w:val="both"/>
        <w:rPr>
          <w:b/>
        </w:rPr>
      </w:pPr>
      <w:r w:rsidRPr="002D4467">
        <w:rPr>
          <w:b/>
        </w:rPr>
        <w:t xml:space="preserve">Proposal 2: </w:t>
      </w:r>
      <w:r w:rsidR="000B74E8">
        <w:rPr>
          <w:b/>
        </w:rPr>
        <w:t xml:space="preserve">The maximum number of </w:t>
      </w:r>
      <w:r w:rsidR="000B74E8">
        <w:rPr>
          <w:b/>
        </w:rPr>
        <w:t xml:space="preserve">configured </w:t>
      </w:r>
      <w:r w:rsidR="000B74E8">
        <w:rPr>
          <w:b/>
        </w:rPr>
        <w:t>BWPs should be determined after RAN4’s decision on the minimum BW supported for eMBB UEs</w:t>
      </w:r>
      <w:r w:rsidRPr="002D4467">
        <w:rPr>
          <w:b/>
        </w:rPr>
        <w:t>.</w:t>
      </w:r>
    </w:p>
    <w:p w:rsidR="004B2628" w:rsidRPr="002C4EA6" w:rsidRDefault="004B2628" w:rsidP="004B2628">
      <w:pPr>
        <w:pStyle w:val="BodyText"/>
        <w:rPr>
          <w:rFonts w:eastAsia="SimSun"/>
          <w:b/>
          <w:lang w:eastAsia="zh-CN"/>
        </w:rPr>
      </w:pPr>
    </w:p>
    <w:p w:rsidR="002A0246" w:rsidRDefault="003E382E" w:rsidP="002A0246">
      <w:pPr>
        <w:pStyle w:val="Heading2"/>
      </w:pPr>
      <w:r>
        <w:t>Remaining details of BWP activation</w:t>
      </w:r>
    </w:p>
    <w:p w:rsidR="009777F8" w:rsidRDefault="009777F8" w:rsidP="009777F8">
      <w:pPr>
        <w:pStyle w:val="Heading3"/>
      </w:pPr>
      <w:r>
        <w:t>DCI based activation</w:t>
      </w:r>
    </w:p>
    <w:p w:rsidR="001C5770" w:rsidRDefault="0085523F" w:rsidP="002D4467">
      <w:pPr>
        <w:jc w:val="both"/>
      </w:pPr>
      <w:r>
        <w:t>If a UE is configured with multiple DL or UL BWPs in a serving</w:t>
      </w:r>
      <w:r w:rsidR="00DF3813">
        <w:t xml:space="preserve"> cell</w:t>
      </w:r>
      <w:r>
        <w:t>, an inactive DL/UL BWP</w:t>
      </w:r>
      <w:r w:rsidR="00DF3813">
        <w:t xml:space="preserve"> can be activated by a DCI scheduling a DL assignment or UL grant </w:t>
      </w:r>
      <w:r>
        <w:t xml:space="preserve">respectively </w:t>
      </w:r>
      <w:r w:rsidR="004E4EB9">
        <w:t xml:space="preserve">in this </w:t>
      </w:r>
      <w:r>
        <w:t>BWP</w:t>
      </w:r>
      <w:r w:rsidR="00DF3813">
        <w:t xml:space="preserve">. </w:t>
      </w:r>
      <w:r w:rsidR="00835FD8">
        <w:t xml:space="preserve">As the UE is monitoring the PDCCH on the currently active DL BWP, the DCI should contain an indication to a target BWP that the UE should switch to for PDSCH reception or UL transmission. A BWP indication can be inserted in the UE-specific DCI format for this purpose. </w:t>
      </w:r>
      <w:r w:rsidR="004E4EB9">
        <w:t xml:space="preserve">The bit width of this </w:t>
      </w:r>
      <w:r w:rsidR="00835FD8">
        <w:t xml:space="preserve">field </w:t>
      </w:r>
      <w:r w:rsidR="004E4EB9">
        <w:t>sh</w:t>
      </w:r>
      <w:r w:rsidR="00835FD8">
        <w:t xml:space="preserve">ould depend on </w:t>
      </w:r>
      <w:r w:rsidR="004E4EB9">
        <w:t xml:space="preserve">either </w:t>
      </w:r>
      <w:r w:rsidR="00835FD8">
        <w:t xml:space="preserve">the maximum </w:t>
      </w:r>
      <w:r w:rsidR="004E4EB9">
        <w:t xml:space="preserve">possible or presently configured number of DL/UL </w:t>
      </w:r>
      <w:r w:rsidR="00835FD8">
        <w:t>BWPs</w:t>
      </w:r>
      <w:r w:rsidR="004E4EB9">
        <w:t xml:space="preserve">. Similar to CIF, it may be simpler to set the BWP indication field to a fixed size </w:t>
      </w:r>
      <w:r w:rsidR="000B74E8">
        <w:t>based on the maximum number of configured BWPs</w:t>
      </w:r>
      <w:r w:rsidR="004E4EB9">
        <w:t>.</w:t>
      </w:r>
      <w:r w:rsidR="001C5770">
        <w:t xml:space="preserve"> </w:t>
      </w:r>
    </w:p>
    <w:p w:rsidR="0085523F" w:rsidRDefault="0085523F" w:rsidP="002D4467">
      <w:pPr>
        <w:jc w:val="both"/>
      </w:pPr>
    </w:p>
    <w:p w:rsidR="0085523F" w:rsidRPr="0085523F" w:rsidRDefault="0085523F" w:rsidP="002D4467">
      <w:pPr>
        <w:jc w:val="both"/>
        <w:rPr>
          <w:b/>
        </w:rPr>
      </w:pPr>
      <w:r w:rsidRPr="0085523F">
        <w:rPr>
          <w:b/>
        </w:rPr>
        <w:t>Proposal</w:t>
      </w:r>
      <w:r>
        <w:rPr>
          <w:b/>
        </w:rPr>
        <w:t xml:space="preserve"> 3</w:t>
      </w:r>
      <w:r w:rsidRPr="0085523F">
        <w:rPr>
          <w:b/>
        </w:rPr>
        <w:t>: if a UE is configured with multiple BWPs, a BWP-indication field is present in DCI formats transmitted in a UE-specific search space indicating which BWP the scheduling assignment is for.</w:t>
      </w:r>
    </w:p>
    <w:p w:rsidR="001C5770" w:rsidRDefault="001C5770" w:rsidP="002D4467">
      <w:pPr>
        <w:jc w:val="both"/>
      </w:pPr>
    </w:p>
    <w:p w:rsidR="004E4EB9" w:rsidRDefault="001C5770" w:rsidP="002D4467">
      <w:pPr>
        <w:jc w:val="both"/>
      </w:pPr>
      <w:r>
        <w:t xml:space="preserve">A second issue is whether the DCI format size is dependent on the active DL or UL BWP. This is particularly relevant for the frequency domain resource allocation field in the DCI. </w:t>
      </w:r>
      <w:r w:rsidR="00503D03">
        <w:t xml:space="preserve">If </w:t>
      </w:r>
      <w:r>
        <w:t xml:space="preserve">dependent </w:t>
      </w:r>
      <w:r w:rsidR="00503D03">
        <w:t xml:space="preserve">on the BWP size </w:t>
      </w:r>
      <w:r>
        <w:t xml:space="preserve">it may lead to increased number of blind decodes as the </w:t>
      </w:r>
      <w:r w:rsidR="00503D03">
        <w:t xml:space="preserve">DCI payload sizes would be different. Thus, one viewpoint </w:t>
      </w:r>
      <w:r w:rsidR="004E4EB9">
        <w:t xml:space="preserve">expressed in RAN1 AH_#NR3 </w:t>
      </w:r>
      <w:r w:rsidR="00503D03">
        <w:t>is that the DCI size is independent of the BW of the active DL/UL BWPs. To see the impact of this proposal we consider the frequency domain resource allocation field size using the number of PRBs defined by RAN4 for below 6</w:t>
      </w:r>
      <w:r w:rsidR="000B7B81">
        <w:t xml:space="preserve"> </w:t>
      </w:r>
      <w:r w:rsidR="00503D03">
        <w:t xml:space="preserve">GHz and 15 KHz subcarrier spacing in </w:t>
      </w:r>
      <w:r w:rsidR="0054437B">
        <w:fldChar w:fldCharType="begin"/>
      </w:r>
      <w:r w:rsidR="000B7B81">
        <w:instrText xml:space="preserve"> REF _Ref494632892 \n \h </w:instrText>
      </w:r>
      <w:r w:rsidR="0054437B">
        <w:fldChar w:fldCharType="separate"/>
      </w:r>
      <w:r w:rsidR="000B7B81">
        <w:t>[2]</w:t>
      </w:r>
      <w:r w:rsidR="0054437B">
        <w:fldChar w:fldCharType="end"/>
      </w:r>
      <w:r w:rsidR="000B7B81">
        <w:t xml:space="preserve">. </w:t>
      </w:r>
    </w:p>
    <w:p w:rsidR="004E4EB9" w:rsidRDefault="004E4EB9" w:rsidP="002D4467">
      <w:pPr>
        <w:jc w:val="both"/>
      </w:pPr>
    </w:p>
    <w:p w:rsidR="002D4467" w:rsidRDefault="0054437B" w:rsidP="002D4467">
      <w:pPr>
        <w:jc w:val="both"/>
      </w:pPr>
      <w:r>
        <w:fldChar w:fldCharType="begin"/>
      </w:r>
      <w:r w:rsidR="0069397A">
        <w:instrText xml:space="preserve"> REF _Ref494633711 \h </w:instrText>
      </w:r>
      <w:r>
        <w:fldChar w:fldCharType="separate"/>
      </w:r>
      <w:r w:rsidR="0069397A">
        <w:t xml:space="preserve">Table </w:t>
      </w:r>
      <w:r w:rsidR="0069397A">
        <w:rPr>
          <w:noProof/>
        </w:rPr>
        <w:t>1</w:t>
      </w:r>
      <w:r>
        <w:fldChar w:fldCharType="end"/>
      </w:r>
      <w:r w:rsidR="0069397A">
        <w:t xml:space="preserve"> shows the required bit widths for the resource allocation field for both RBG-based and RIV-based resource allocation </w:t>
      </w:r>
      <w:r w:rsidR="004E4EB9">
        <w:t xml:space="preserve">schemes </w:t>
      </w:r>
      <w:r w:rsidR="0069397A">
        <w:t xml:space="preserve">given a carrier bandwidth of 50 MHz (270 PRBs) and different BWP sizes. The minimum BWP size shown of 25 PRBs matches the minimum carrier BW below 6 GHz. </w:t>
      </w:r>
    </w:p>
    <w:p w:rsidR="0069397A" w:rsidRDefault="0069397A" w:rsidP="0069397A">
      <w:pPr>
        <w:pStyle w:val="Caption"/>
        <w:keepNext/>
        <w:jc w:val="center"/>
      </w:pPr>
      <w:bookmarkStart w:id="3" w:name="_Ref494633711"/>
      <w:r>
        <w:t xml:space="preserve">Table </w:t>
      </w:r>
      <w:fldSimple w:instr=" SEQ Table \* ARABIC ">
        <w:r>
          <w:rPr>
            <w:noProof/>
          </w:rPr>
          <w:t>1</w:t>
        </w:r>
      </w:fldSimple>
      <w:bookmarkEnd w:id="3"/>
      <w:r>
        <w:t xml:space="preserve"> Required bit width of resource allocation field for different BWP sizes</w:t>
      </w:r>
    </w:p>
    <w:tbl>
      <w:tblPr>
        <w:tblStyle w:val="TableGrid"/>
        <w:tblW w:w="0" w:type="auto"/>
        <w:jc w:val="center"/>
        <w:tblLook w:val="04A0"/>
      </w:tblPr>
      <w:tblGrid>
        <w:gridCol w:w="2008"/>
        <w:gridCol w:w="1327"/>
        <w:gridCol w:w="988"/>
        <w:gridCol w:w="1125"/>
        <w:gridCol w:w="1500"/>
      </w:tblGrid>
      <w:tr w:rsidR="000B7B81" w:rsidTr="0069397A">
        <w:trPr>
          <w:jc w:val="center"/>
        </w:trPr>
        <w:tc>
          <w:tcPr>
            <w:tcW w:w="2008" w:type="dxa"/>
            <w:vMerge w:val="restart"/>
            <w:shd w:val="clear" w:color="auto" w:fill="FBD4B4" w:themeFill="accent6" w:themeFillTint="66"/>
          </w:tcPr>
          <w:p w:rsidR="000B7B81" w:rsidRDefault="000B7B81" w:rsidP="0069397A">
            <w:pPr>
              <w:jc w:val="center"/>
            </w:pPr>
            <w:r>
              <w:t>Carrier BW</w:t>
            </w:r>
          </w:p>
          <w:p w:rsidR="000B7B81" w:rsidRDefault="000B7B81" w:rsidP="0069397A">
            <w:pPr>
              <w:jc w:val="center"/>
            </w:pPr>
            <w:r>
              <w:t>(MHz/N</w:t>
            </w:r>
            <w:r w:rsidRPr="000B7B81">
              <w:rPr>
                <w:vertAlign w:val="subscript"/>
              </w:rPr>
              <w:t>RB</w:t>
            </w:r>
            <w:r>
              <w:t>)</w:t>
            </w:r>
          </w:p>
        </w:tc>
        <w:tc>
          <w:tcPr>
            <w:tcW w:w="1327" w:type="dxa"/>
            <w:vMerge w:val="restart"/>
            <w:shd w:val="clear" w:color="auto" w:fill="FBD4B4" w:themeFill="accent6" w:themeFillTint="66"/>
          </w:tcPr>
          <w:p w:rsidR="000B7B81" w:rsidRDefault="000B7B81" w:rsidP="0069397A">
            <w:pPr>
              <w:jc w:val="center"/>
            </w:pPr>
            <w:r>
              <w:t>BWP size</w:t>
            </w:r>
          </w:p>
          <w:p w:rsidR="000B7B81" w:rsidRDefault="000B7B81" w:rsidP="0069397A">
            <w:pPr>
              <w:jc w:val="center"/>
            </w:pPr>
            <w:r>
              <w:t>(N</w:t>
            </w:r>
            <w:r w:rsidRPr="000B7B81">
              <w:rPr>
                <w:vertAlign w:val="subscript"/>
              </w:rPr>
              <w:t>BWP-RB</w:t>
            </w:r>
            <w:r>
              <w:t>)</w:t>
            </w:r>
          </w:p>
        </w:tc>
        <w:tc>
          <w:tcPr>
            <w:tcW w:w="2113" w:type="dxa"/>
            <w:gridSpan w:val="2"/>
            <w:shd w:val="clear" w:color="auto" w:fill="FBD4B4" w:themeFill="accent6" w:themeFillTint="66"/>
          </w:tcPr>
          <w:p w:rsidR="000B7B81" w:rsidRDefault="000B7B81" w:rsidP="0069397A">
            <w:pPr>
              <w:jc w:val="center"/>
            </w:pPr>
            <w:r>
              <w:t>RBG-based</w:t>
            </w:r>
          </w:p>
        </w:tc>
        <w:tc>
          <w:tcPr>
            <w:tcW w:w="1500" w:type="dxa"/>
            <w:vMerge w:val="restart"/>
            <w:shd w:val="clear" w:color="auto" w:fill="FBD4B4" w:themeFill="accent6" w:themeFillTint="66"/>
          </w:tcPr>
          <w:p w:rsidR="000B7B81" w:rsidRDefault="000B7B81" w:rsidP="0069397A">
            <w:pPr>
              <w:jc w:val="center"/>
            </w:pPr>
            <w:r>
              <w:t>RIV-based</w:t>
            </w:r>
          </w:p>
        </w:tc>
      </w:tr>
      <w:tr w:rsidR="000B7B81" w:rsidTr="0069397A">
        <w:trPr>
          <w:jc w:val="center"/>
        </w:trPr>
        <w:tc>
          <w:tcPr>
            <w:tcW w:w="2008" w:type="dxa"/>
            <w:vMerge/>
          </w:tcPr>
          <w:p w:rsidR="000B7B81" w:rsidRDefault="000B7B81" w:rsidP="0069397A">
            <w:pPr>
              <w:jc w:val="center"/>
            </w:pPr>
          </w:p>
        </w:tc>
        <w:tc>
          <w:tcPr>
            <w:tcW w:w="1327" w:type="dxa"/>
            <w:vMerge/>
          </w:tcPr>
          <w:p w:rsidR="000B7B81" w:rsidRDefault="000B7B81" w:rsidP="0069397A">
            <w:pPr>
              <w:jc w:val="center"/>
            </w:pPr>
          </w:p>
        </w:tc>
        <w:tc>
          <w:tcPr>
            <w:tcW w:w="988" w:type="dxa"/>
            <w:shd w:val="clear" w:color="auto" w:fill="FBD4B4" w:themeFill="accent6" w:themeFillTint="66"/>
          </w:tcPr>
          <w:p w:rsidR="000B7B81" w:rsidRDefault="000B7B81" w:rsidP="0069397A">
            <w:pPr>
              <w:jc w:val="center"/>
            </w:pPr>
            <w:r>
              <w:t>P</w:t>
            </w:r>
          </w:p>
        </w:tc>
        <w:tc>
          <w:tcPr>
            <w:tcW w:w="1125" w:type="dxa"/>
            <w:shd w:val="clear" w:color="auto" w:fill="FBD4B4" w:themeFill="accent6" w:themeFillTint="66"/>
          </w:tcPr>
          <w:p w:rsidR="000B7B81" w:rsidRDefault="0054437B" w:rsidP="0069397A">
            <w:pPr>
              <w:jc w:val="center"/>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BWP-RB</m:t>
                            </m:r>
                          </m:sub>
                        </m:sSub>
                      </m:num>
                      <m:den>
                        <m:r>
                          <w:rPr>
                            <w:rFonts w:ascii="Cambria Math" w:hAnsi="Cambria Math"/>
                          </w:rPr>
                          <m:t>P</m:t>
                        </m:r>
                      </m:den>
                    </m:f>
                  </m:e>
                </m:d>
              </m:oMath>
            </m:oMathPara>
          </w:p>
        </w:tc>
        <w:tc>
          <w:tcPr>
            <w:tcW w:w="1500" w:type="dxa"/>
            <w:vMerge/>
          </w:tcPr>
          <w:p w:rsidR="000B7B81" w:rsidRDefault="000B7B81" w:rsidP="0069397A">
            <w:pPr>
              <w:jc w:val="center"/>
            </w:pPr>
          </w:p>
        </w:tc>
      </w:tr>
      <w:tr w:rsidR="000B7B81" w:rsidTr="0069397A">
        <w:trPr>
          <w:jc w:val="center"/>
        </w:trPr>
        <w:tc>
          <w:tcPr>
            <w:tcW w:w="2008" w:type="dxa"/>
            <w:vMerge w:val="restart"/>
          </w:tcPr>
          <w:p w:rsidR="000B7B81" w:rsidRDefault="000B7B81" w:rsidP="0069397A">
            <w:pPr>
              <w:jc w:val="center"/>
            </w:pPr>
            <w:r>
              <w:t>50/270</w:t>
            </w:r>
          </w:p>
        </w:tc>
        <w:tc>
          <w:tcPr>
            <w:tcW w:w="1327" w:type="dxa"/>
          </w:tcPr>
          <w:p w:rsidR="000B7B81" w:rsidRDefault="000B7B81" w:rsidP="0069397A">
            <w:pPr>
              <w:jc w:val="center"/>
            </w:pPr>
            <w:r>
              <w:t>270</w:t>
            </w:r>
          </w:p>
        </w:tc>
        <w:tc>
          <w:tcPr>
            <w:tcW w:w="988" w:type="dxa"/>
          </w:tcPr>
          <w:p w:rsidR="000B7B81" w:rsidRDefault="000B7B81" w:rsidP="0069397A">
            <w:pPr>
              <w:jc w:val="center"/>
            </w:pPr>
            <w:r>
              <w:t>16</w:t>
            </w:r>
          </w:p>
        </w:tc>
        <w:tc>
          <w:tcPr>
            <w:tcW w:w="1125" w:type="dxa"/>
          </w:tcPr>
          <w:p w:rsidR="000B7B81" w:rsidRDefault="000B7B81" w:rsidP="0069397A">
            <w:pPr>
              <w:jc w:val="center"/>
            </w:pPr>
            <w:r>
              <w:t>17</w:t>
            </w:r>
          </w:p>
        </w:tc>
        <w:tc>
          <w:tcPr>
            <w:tcW w:w="1500" w:type="dxa"/>
          </w:tcPr>
          <w:p w:rsidR="000B7B81" w:rsidRDefault="0069397A" w:rsidP="0069397A">
            <w:pPr>
              <w:jc w:val="center"/>
            </w:pPr>
            <w:r>
              <w:t>16</w:t>
            </w:r>
          </w:p>
        </w:tc>
      </w:tr>
      <w:tr w:rsidR="000B7B81" w:rsidTr="0069397A">
        <w:trPr>
          <w:jc w:val="center"/>
        </w:trPr>
        <w:tc>
          <w:tcPr>
            <w:tcW w:w="2008" w:type="dxa"/>
            <w:vMerge/>
          </w:tcPr>
          <w:p w:rsidR="000B7B81" w:rsidRDefault="000B7B81" w:rsidP="0069397A">
            <w:pPr>
              <w:jc w:val="center"/>
            </w:pPr>
          </w:p>
        </w:tc>
        <w:tc>
          <w:tcPr>
            <w:tcW w:w="1327" w:type="dxa"/>
          </w:tcPr>
          <w:p w:rsidR="000B7B81" w:rsidRDefault="000B7B81" w:rsidP="0069397A">
            <w:pPr>
              <w:jc w:val="center"/>
            </w:pPr>
            <w:r>
              <w:t>52</w:t>
            </w:r>
          </w:p>
        </w:tc>
        <w:tc>
          <w:tcPr>
            <w:tcW w:w="988" w:type="dxa"/>
          </w:tcPr>
          <w:p w:rsidR="000B7B81" w:rsidRDefault="000B7B81" w:rsidP="0069397A">
            <w:pPr>
              <w:jc w:val="center"/>
            </w:pPr>
            <w:r>
              <w:t>4</w:t>
            </w:r>
          </w:p>
        </w:tc>
        <w:tc>
          <w:tcPr>
            <w:tcW w:w="1125" w:type="dxa"/>
          </w:tcPr>
          <w:p w:rsidR="000B7B81" w:rsidRDefault="000B7B81" w:rsidP="0069397A">
            <w:pPr>
              <w:jc w:val="center"/>
            </w:pPr>
            <w:r>
              <w:t>13</w:t>
            </w:r>
          </w:p>
        </w:tc>
        <w:tc>
          <w:tcPr>
            <w:tcW w:w="1500" w:type="dxa"/>
          </w:tcPr>
          <w:p w:rsidR="000B7B81" w:rsidRDefault="0069397A" w:rsidP="0069397A">
            <w:pPr>
              <w:jc w:val="center"/>
            </w:pPr>
            <w:r>
              <w:t>11</w:t>
            </w:r>
          </w:p>
        </w:tc>
      </w:tr>
      <w:tr w:rsidR="000B7B81" w:rsidTr="0069397A">
        <w:trPr>
          <w:jc w:val="center"/>
        </w:trPr>
        <w:tc>
          <w:tcPr>
            <w:tcW w:w="2008" w:type="dxa"/>
            <w:vMerge/>
          </w:tcPr>
          <w:p w:rsidR="000B7B81" w:rsidRDefault="000B7B81" w:rsidP="0069397A">
            <w:pPr>
              <w:jc w:val="center"/>
            </w:pPr>
          </w:p>
        </w:tc>
        <w:tc>
          <w:tcPr>
            <w:tcW w:w="1327" w:type="dxa"/>
          </w:tcPr>
          <w:p w:rsidR="000B7B81" w:rsidRDefault="000B7B81" w:rsidP="0069397A">
            <w:pPr>
              <w:jc w:val="center"/>
            </w:pPr>
            <w:r>
              <w:t>25</w:t>
            </w:r>
          </w:p>
        </w:tc>
        <w:tc>
          <w:tcPr>
            <w:tcW w:w="988" w:type="dxa"/>
          </w:tcPr>
          <w:p w:rsidR="000B7B81" w:rsidRDefault="000B7B81" w:rsidP="0069397A">
            <w:pPr>
              <w:jc w:val="center"/>
            </w:pPr>
            <w:r>
              <w:t>2</w:t>
            </w:r>
          </w:p>
        </w:tc>
        <w:tc>
          <w:tcPr>
            <w:tcW w:w="1125" w:type="dxa"/>
          </w:tcPr>
          <w:p w:rsidR="000B7B81" w:rsidRDefault="000B7B81" w:rsidP="0069397A">
            <w:pPr>
              <w:jc w:val="center"/>
            </w:pPr>
            <w:r>
              <w:t>13</w:t>
            </w:r>
          </w:p>
        </w:tc>
        <w:tc>
          <w:tcPr>
            <w:tcW w:w="1500" w:type="dxa"/>
          </w:tcPr>
          <w:p w:rsidR="000B7B81" w:rsidRDefault="0069397A" w:rsidP="0069397A">
            <w:pPr>
              <w:jc w:val="center"/>
            </w:pPr>
            <w:r>
              <w:t>9</w:t>
            </w:r>
          </w:p>
        </w:tc>
      </w:tr>
    </w:tbl>
    <w:p w:rsidR="000B7B81" w:rsidRDefault="000B7B81" w:rsidP="0069397A">
      <w:pPr>
        <w:jc w:val="center"/>
      </w:pPr>
    </w:p>
    <w:p w:rsidR="00C55815" w:rsidRDefault="00E203C8" w:rsidP="003E382E">
      <w:pPr>
        <w:jc w:val="both"/>
      </w:pPr>
      <w:r>
        <w:t xml:space="preserve">It can be seen that for RBG-based allocation, even when the maximum RBG size of 16 is used to reduce the bit width there would be an increase of 4 bits for a DCI scheduled on the smaller BWP of 25 PRBs. For RIV-based (contiguous) RA, it is even worse as 7 additional bits have to be supported. </w:t>
      </w:r>
      <w:r w:rsidR="0069397A">
        <w:t xml:space="preserve">Therefore, a different solution should be considered. </w:t>
      </w:r>
      <w:r>
        <w:t>A second problem with this solution is</w:t>
      </w:r>
      <w:r w:rsidR="00C55815">
        <w:t xml:space="preserve"> that it is not uniformly applicable as it would not be applied for DCI transmitted in a common/group-common search space.</w:t>
      </w:r>
    </w:p>
    <w:p w:rsidR="00E203C8" w:rsidRDefault="00E203C8" w:rsidP="003E382E">
      <w:pPr>
        <w:jc w:val="both"/>
      </w:pPr>
      <w:r>
        <w:t xml:space="preserve"> </w:t>
      </w:r>
    </w:p>
    <w:p w:rsidR="003E382E" w:rsidRDefault="0069397A" w:rsidP="003E382E">
      <w:pPr>
        <w:jc w:val="both"/>
      </w:pPr>
      <w:r>
        <w:lastRenderedPageBreak/>
        <w:t xml:space="preserve">In </w:t>
      </w:r>
      <w:r w:rsidR="0054437B">
        <w:fldChar w:fldCharType="begin"/>
      </w:r>
      <w:r>
        <w:instrText xml:space="preserve"> REF _Ref494633975 \n \h </w:instrText>
      </w:r>
      <w:r w:rsidR="0054437B">
        <w:fldChar w:fldCharType="separate"/>
      </w:r>
      <w:r>
        <w:t>[3]</w:t>
      </w:r>
      <w:r w:rsidR="0054437B">
        <w:fldChar w:fldCharType="end"/>
      </w:r>
      <w:r>
        <w:t xml:space="preserve"> we propose</w:t>
      </w:r>
      <w:r w:rsidR="00C55815">
        <w:t>d</w:t>
      </w:r>
      <w:r>
        <w:t xml:space="preserve"> a</w:t>
      </w:r>
      <w:r w:rsidR="00C55815">
        <w:t>n alternative</w:t>
      </w:r>
      <w:r>
        <w:t xml:space="preserve"> solution where the DCI format </w:t>
      </w:r>
      <w:r w:rsidR="00C93B5D">
        <w:t>size matches</w:t>
      </w:r>
      <w:r>
        <w:t xml:space="preserve"> the </w:t>
      </w:r>
      <w:r w:rsidR="00C93B5D">
        <w:t>BW of the BWP in which the PDCCH is received</w:t>
      </w:r>
      <w:r>
        <w:t xml:space="preserve">. </w:t>
      </w:r>
      <w:r w:rsidR="00C55815">
        <w:t xml:space="preserve">To avoid an increase in the number of blind decodes, the UE can interpret the RA field based on the scheduled BWP. </w:t>
      </w:r>
      <w:r>
        <w:t xml:space="preserve">For </w:t>
      </w:r>
      <w:r w:rsidR="00C93B5D">
        <w:t xml:space="preserve">example, for </w:t>
      </w:r>
      <w:r>
        <w:t xml:space="preserve">a transition from a small BWP to a larger BWP, the UE interprets the RA field as being only the LSBs of the required RA field </w:t>
      </w:r>
      <w:r w:rsidR="00C93B5D">
        <w:t>for scheduling</w:t>
      </w:r>
      <w:r>
        <w:t xml:space="preserve"> the larger BWP. The scheduling restriction is not considered </w:t>
      </w:r>
      <w:r w:rsidR="00C93B5D">
        <w:t>an issue as the UE may not have performed CSI measurements on the target BWP and the gNB may start off with a small resource allocation.</w:t>
      </w:r>
      <w:r w:rsidR="00C55815" w:rsidRPr="00C55815">
        <w:t xml:space="preserve"> </w:t>
      </w:r>
      <w:r w:rsidR="00C55815">
        <w:t xml:space="preserve">More details are provided in </w:t>
      </w:r>
      <w:r w:rsidR="0054437B">
        <w:fldChar w:fldCharType="begin"/>
      </w:r>
      <w:r w:rsidR="00C55815">
        <w:instrText xml:space="preserve"> REF _Ref494633975 \n \h </w:instrText>
      </w:r>
      <w:r w:rsidR="0054437B">
        <w:fldChar w:fldCharType="separate"/>
      </w:r>
      <w:r w:rsidR="00C55815">
        <w:t>[3]</w:t>
      </w:r>
      <w:r w:rsidR="0054437B">
        <w:fldChar w:fldCharType="end"/>
      </w:r>
      <w:r w:rsidR="00C55815">
        <w:t>.</w:t>
      </w:r>
    </w:p>
    <w:p w:rsidR="00C93B5D" w:rsidRDefault="00C93B5D" w:rsidP="003E382E">
      <w:pPr>
        <w:jc w:val="both"/>
      </w:pPr>
    </w:p>
    <w:p w:rsidR="00C93B5D" w:rsidRDefault="00C93B5D" w:rsidP="003E382E">
      <w:pPr>
        <w:jc w:val="both"/>
        <w:rPr>
          <w:b/>
        </w:rPr>
      </w:pPr>
      <w:r w:rsidRPr="00C93B5D">
        <w:rPr>
          <w:b/>
        </w:rPr>
        <w:t xml:space="preserve">Proposal </w:t>
      </w:r>
      <w:r w:rsidR="0085523F">
        <w:rPr>
          <w:b/>
        </w:rPr>
        <w:t>4</w:t>
      </w:r>
      <w:r w:rsidRPr="00C93B5D">
        <w:rPr>
          <w:b/>
        </w:rPr>
        <w:t>: The DCI format size matches the BW of the BWP in which the PDCCH is detected.</w:t>
      </w:r>
    </w:p>
    <w:p w:rsidR="009777F8" w:rsidRDefault="009777F8" w:rsidP="003E382E">
      <w:pPr>
        <w:jc w:val="both"/>
        <w:rPr>
          <w:b/>
        </w:rPr>
      </w:pPr>
    </w:p>
    <w:p w:rsidR="009777F8" w:rsidRDefault="009777F8" w:rsidP="00C55815">
      <w:pPr>
        <w:pStyle w:val="Heading3"/>
      </w:pPr>
      <w:r w:rsidRPr="009777F8">
        <w:t>Time</w:t>
      </w:r>
      <w:r>
        <w:t>r-based deactivation</w:t>
      </w:r>
    </w:p>
    <w:p w:rsidR="00406CCE" w:rsidRDefault="009777F8" w:rsidP="003E382E">
      <w:pPr>
        <w:jc w:val="both"/>
      </w:pPr>
      <w:r>
        <w:t>It was agreed that a BWP can be deactivated upon expiry of a timer, at which time the default BWP becomes the active BWP. An unresolved issue is whether to reuse the DR</w:t>
      </w:r>
      <w:r w:rsidR="00C55815">
        <w:t>X</w:t>
      </w:r>
      <w:r>
        <w:t xml:space="preserve"> timer or a new timer should be introduced. </w:t>
      </w:r>
      <w:r w:rsidR="00406CCE">
        <w:t>We have the following observations</w:t>
      </w:r>
    </w:p>
    <w:p w:rsidR="00406CCE" w:rsidRDefault="009777F8" w:rsidP="00406CCE">
      <w:pPr>
        <w:pStyle w:val="ListParagraph"/>
        <w:numPr>
          <w:ilvl w:val="0"/>
          <w:numId w:val="37"/>
        </w:numPr>
        <w:ind w:firstLineChars="0"/>
        <w:jc w:val="both"/>
        <w:rPr>
          <w:rFonts w:ascii="Times New Roman" w:hAnsi="Times New Roman" w:cs="Times New Roman"/>
          <w:sz w:val="20"/>
        </w:rPr>
      </w:pPr>
      <w:r w:rsidRPr="00406CCE">
        <w:rPr>
          <w:rFonts w:ascii="Times New Roman" w:hAnsi="Times New Roman" w:cs="Times New Roman"/>
          <w:sz w:val="20"/>
        </w:rPr>
        <w:t xml:space="preserve">The DRX timer is used to enable power savings in the UE where the UE can go to sleep if no PDCCH scheduling a new initial transmission is detected within a so-called </w:t>
      </w:r>
      <w:r w:rsidRPr="00406CCE">
        <w:rPr>
          <w:rFonts w:ascii="Times New Roman" w:hAnsi="Times New Roman" w:cs="Times New Roman"/>
          <w:i/>
          <w:sz w:val="20"/>
        </w:rPr>
        <w:t>on duration</w:t>
      </w:r>
      <w:r w:rsidRPr="00406CCE">
        <w:rPr>
          <w:rFonts w:ascii="Times New Roman" w:hAnsi="Times New Roman" w:cs="Times New Roman"/>
          <w:sz w:val="20"/>
        </w:rPr>
        <w:t>. This is rather different from BWP Use Case</w:t>
      </w:r>
      <w:r w:rsidR="00406CCE" w:rsidRPr="00406CCE">
        <w:rPr>
          <w:rFonts w:ascii="Times New Roman" w:hAnsi="Times New Roman" w:cs="Times New Roman"/>
          <w:sz w:val="20"/>
        </w:rPr>
        <w:t xml:space="preserve"> #2, where power savings are obtained by BWP adaptation. Indeed, the UE is still in active mode albeit with operation on a reduced BW. </w:t>
      </w:r>
    </w:p>
    <w:p w:rsidR="009777F8" w:rsidRDefault="00406CCE" w:rsidP="00406CCE">
      <w:pPr>
        <w:pStyle w:val="ListParagraph"/>
        <w:numPr>
          <w:ilvl w:val="0"/>
          <w:numId w:val="37"/>
        </w:numPr>
        <w:ind w:firstLineChars="0"/>
        <w:jc w:val="both"/>
        <w:rPr>
          <w:rFonts w:ascii="Times New Roman" w:hAnsi="Times New Roman" w:cs="Times New Roman"/>
          <w:sz w:val="20"/>
        </w:rPr>
      </w:pPr>
      <w:r>
        <w:rPr>
          <w:rFonts w:ascii="Times New Roman" w:hAnsi="Times New Roman" w:cs="Times New Roman"/>
          <w:sz w:val="20"/>
        </w:rPr>
        <w:t>G</w:t>
      </w:r>
      <w:r w:rsidRPr="00406CCE">
        <w:rPr>
          <w:rFonts w:ascii="Times New Roman" w:hAnsi="Times New Roman" w:cs="Times New Roman"/>
          <w:sz w:val="20"/>
        </w:rPr>
        <w:t>iven the different motivations the value of the DRX inactivity timer is likely to be different from a BWP deactivation/switch timer</w:t>
      </w:r>
      <w:r>
        <w:rPr>
          <w:rFonts w:ascii="Times New Roman" w:hAnsi="Times New Roman" w:cs="Times New Roman"/>
          <w:sz w:val="20"/>
        </w:rPr>
        <w:t xml:space="preserve"> even though some design principles could be similar.</w:t>
      </w:r>
    </w:p>
    <w:p w:rsidR="00406CCE" w:rsidRDefault="00406CCE" w:rsidP="00406CCE">
      <w:pPr>
        <w:jc w:val="both"/>
      </w:pPr>
    </w:p>
    <w:p w:rsidR="00406CCE" w:rsidRPr="00406CCE" w:rsidRDefault="00682778" w:rsidP="00406CCE">
      <w:pPr>
        <w:jc w:val="both"/>
      </w:pPr>
      <w:r>
        <w:t>Therefore, a</w:t>
      </w:r>
      <w:r w:rsidR="00406CCE">
        <w:t xml:space="preserve"> </w:t>
      </w:r>
      <w:r>
        <w:t xml:space="preserve">BWP deactivation </w:t>
      </w:r>
      <w:r w:rsidR="00406CCE">
        <w:t>timer should be based on PDCCH monitoring of a DL BWP</w:t>
      </w:r>
      <w:r w:rsidR="002C057D">
        <w:t xml:space="preserve"> and is separate from the sleep cycle provided by DRX configuration</w:t>
      </w:r>
      <w:r>
        <w:t>.</w:t>
      </w:r>
    </w:p>
    <w:p w:rsidR="00406CCE" w:rsidRDefault="00406CCE" w:rsidP="00406CCE">
      <w:pPr>
        <w:jc w:val="both"/>
      </w:pPr>
    </w:p>
    <w:p w:rsidR="00406CCE" w:rsidRDefault="00406CCE" w:rsidP="00406CCE">
      <w:pPr>
        <w:jc w:val="both"/>
        <w:rPr>
          <w:b/>
        </w:rPr>
      </w:pPr>
      <w:r w:rsidRPr="00406CCE">
        <w:rPr>
          <w:b/>
        </w:rPr>
        <w:t xml:space="preserve">Proposal </w:t>
      </w:r>
      <w:r w:rsidR="0085523F">
        <w:rPr>
          <w:b/>
        </w:rPr>
        <w:t>5</w:t>
      </w:r>
      <w:r w:rsidRPr="00406CCE">
        <w:rPr>
          <w:b/>
        </w:rPr>
        <w:t xml:space="preserve">: a </w:t>
      </w:r>
      <w:r w:rsidR="00934A70">
        <w:rPr>
          <w:b/>
        </w:rPr>
        <w:t xml:space="preserve">new </w:t>
      </w:r>
      <w:r w:rsidRPr="00406CCE">
        <w:rPr>
          <w:b/>
        </w:rPr>
        <w:t>timer</w:t>
      </w:r>
      <w:r w:rsidR="00934A70">
        <w:rPr>
          <w:b/>
        </w:rPr>
        <w:t xml:space="preserve">, separate from DRX configuration, </w:t>
      </w:r>
      <w:r w:rsidRPr="00406CCE">
        <w:rPr>
          <w:b/>
        </w:rPr>
        <w:t>is introduced for switching the</w:t>
      </w:r>
      <w:r w:rsidR="00332659">
        <w:rPr>
          <w:b/>
        </w:rPr>
        <w:t xml:space="preserve"> active</w:t>
      </w:r>
      <w:r w:rsidRPr="00406CCE">
        <w:rPr>
          <w:b/>
        </w:rPr>
        <w:t xml:space="preserve"> DL BWP back to the default </w:t>
      </w:r>
      <w:r w:rsidR="00332659">
        <w:rPr>
          <w:b/>
        </w:rPr>
        <w:t xml:space="preserve">DL </w:t>
      </w:r>
      <w:r w:rsidRPr="00406CCE">
        <w:rPr>
          <w:b/>
        </w:rPr>
        <w:t>BWP</w:t>
      </w:r>
      <w:r w:rsidR="00332659">
        <w:rPr>
          <w:b/>
        </w:rPr>
        <w:t>.</w:t>
      </w:r>
    </w:p>
    <w:p w:rsidR="00332659" w:rsidRPr="00406CCE" w:rsidRDefault="00332659" w:rsidP="00406CCE">
      <w:pPr>
        <w:jc w:val="both"/>
        <w:rPr>
          <w:b/>
        </w:rPr>
      </w:pPr>
    </w:p>
    <w:p w:rsidR="003E382E" w:rsidRDefault="003E382E" w:rsidP="003E382E">
      <w:pPr>
        <w:pStyle w:val="Heading2"/>
      </w:pPr>
      <w:r>
        <w:t>Other aspects</w:t>
      </w:r>
      <w:r w:rsidR="00934A70">
        <w:t xml:space="preserve"> of PDCCH monitoring</w:t>
      </w:r>
    </w:p>
    <w:p w:rsidR="00AA0C15" w:rsidRDefault="00BE1C25" w:rsidP="00F50C8B">
      <w:r>
        <w:t>Regarding search space monitoring the following was agreed at the RAN1 AH #NR2 meeting,</w:t>
      </w:r>
    </w:p>
    <w:p w:rsidR="00BE1C25" w:rsidRDefault="00BE1C25" w:rsidP="00F50C8B"/>
    <w:p w:rsidR="00BE1C25" w:rsidRPr="0099702A" w:rsidRDefault="00BE1C25" w:rsidP="00BE1C25">
      <w:pPr>
        <w:rPr>
          <w:rFonts w:eastAsia="MS Mincho"/>
          <w:lang w:eastAsia="ja-JP"/>
        </w:rPr>
      </w:pPr>
      <w:r w:rsidRPr="00AF7073">
        <w:rPr>
          <w:rFonts w:eastAsia="MS Mincho" w:hint="eastAsia"/>
          <w:b/>
          <w:highlight w:val="green"/>
          <w:u w:val="single"/>
          <w:lang w:eastAsia="ja-JP"/>
        </w:rPr>
        <w:t>Agreement:</w:t>
      </w:r>
    </w:p>
    <w:p w:rsidR="00BE1C25" w:rsidRPr="0099702A" w:rsidRDefault="00BE1C25" w:rsidP="00BE1C25">
      <w:pPr>
        <w:numPr>
          <w:ilvl w:val="0"/>
          <w:numId w:val="38"/>
        </w:numPr>
        <w:rPr>
          <w:rFonts w:eastAsia="MS Mincho"/>
          <w:lang w:eastAsia="ja-JP"/>
        </w:rPr>
      </w:pPr>
      <w:r w:rsidRPr="0099702A">
        <w:rPr>
          <w:rFonts w:eastAsia="MS Mincho"/>
          <w:lang w:eastAsia="ja-JP"/>
        </w:rPr>
        <w:t>At least one of configured DL BWPs includes one CORESET with common search space at least in primary component carrier</w:t>
      </w:r>
    </w:p>
    <w:p w:rsidR="00BE1C25" w:rsidRDefault="00BE1C25" w:rsidP="00BE1C25">
      <w:pPr>
        <w:numPr>
          <w:ilvl w:val="0"/>
          <w:numId w:val="38"/>
        </w:numPr>
        <w:rPr>
          <w:rFonts w:eastAsia="MS Mincho"/>
          <w:lang w:eastAsia="ja-JP"/>
        </w:rPr>
      </w:pPr>
      <w:r w:rsidRPr="0099702A">
        <w:rPr>
          <w:rFonts w:eastAsia="MS Mincho"/>
          <w:lang w:eastAsia="ja-JP"/>
        </w:rPr>
        <w:t xml:space="preserve">Each configured DL BWP includes at least one CORESET with UE-specific search space for the case of single active </w:t>
      </w:r>
      <w:r>
        <w:rPr>
          <w:rFonts w:eastAsia="MS Mincho" w:hint="eastAsia"/>
          <w:lang w:eastAsia="ja-JP"/>
        </w:rPr>
        <w:t>BWP</w:t>
      </w:r>
      <w:r w:rsidRPr="0099702A">
        <w:rPr>
          <w:rFonts w:eastAsia="MS Mincho"/>
          <w:lang w:eastAsia="ja-JP"/>
        </w:rPr>
        <w:t xml:space="preserve"> at a given time</w:t>
      </w:r>
    </w:p>
    <w:p w:rsidR="00BE1C25" w:rsidRPr="0099702A" w:rsidRDefault="00BE1C25" w:rsidP="00BE1C25">
      <w:pPr>
        <w:numPr>
          <w:ilvl w:val="1"/>
          <w:numId w:val="38"/>
        </w:numPr>
        <w:rPr>
          <w:rFonts w:eastAsia="MS Mincho"/>
          <w:lang w:eastAsia="ja-JP"/>
        </w:rPr>
      </w:pPr>
      <w:r>
        <w:rPr>
          <w:rFonts w:eastAsia="MS Mincho" w:hint="eastAsia"/>
          <w:lang w:eastAsia="ja-JP"/>
        </w:rPr>
        <w:t>In case of single active BWP</w:t>
      </w:r>
      <w:r w:rsidRPr="0099702A">
        <w:rPr>
          <w:rFonts w:eastAsia="MS Mincho"/>
          <w:lang w:eastAsia="ja-JP"/>
        </w:rPr>
        <w:t xml:space="preserve"> at a given time</w:t>
      </w:r>
      <w:r>
        <w:rPr>
          <w:rFonts w:eastAsia="MS Mincho" w:hint="eastAsia"/>
          <w:lang w:eastAsia="ja-JP"/>
        </w:rPr>
        <w:t>, if active DL BWP does not include common search space, then UE is not required to monitor the common search space</w:t>
      </w:r>
    </w:p>
    <w:p w:rsidR="00BE1C25" w:rsidRDefault="00BE1C25" w:rsidP="00F50C8B"/>
    <w:p w:rsidR="00BE1C25" w:rsidRDefault="00BE1C25" w:rsidP="00F50C8B">
      <w:r>
        <w:t>Regardless of the active DL BWP, it should be possible for a UE to receive paging information, and group common control information such as SFI or pre-emption indication. Depending on the monitoring periodicity of different group-common control information types, it may not be practical for the UE to autonomously switch to a default BWP where a group-common search space is available</w:t>
      </w:r>
      <w:r w:rsidR="0093746E">
        <w:t xml:space="preserve"> to monitor for such DCI</w:t>
      </w:r>
      <w:r>
        <w:t>. Since there is at least one CORESET configured on each DL BWP it should be possible to also configure a group-common search space</w:t>
      </w:r>
      <w:r w:rsidR="0093746E">
        <w:t xml:space="preserve"> in the same CORESET</w:t>
      </w:r>
      <w:r>
        <w:t xml:space="preserve">.  </w:t>
      </w:r>
    </w:p>
    <w:p w:rsidR="00BE1C25" w:rsidRDefault="00BE1C25" w:rsidP="00F50C8B"/>
    <w:p w:rsidR="00EE7AE9" w:rsidRPr="00EE7AE9" w:rsidRDefault="00EE7AE9" w:rsidP="00F50C8B">
      <w:pPr>
        <w:rPr>
          <w:b/>
        </w:rPr>
      </w:pPr>
      <w:r w:rsidRPr="00EE7AE9">
        <w:rPr>
          <w:b/>
        </w:rPr>
        <w:t>Proposal 6: for each configured DL BWP, a group-common search space is associated with at least one CORESET configured for the same DL BWP.</w:t>
      </w: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8054F9">
        <w:rPr>
          <w:rFonts w:eastAsia="SimSun"/>
          <w:lang w:eastAsia="zh-CN"/>
        </w:rPr>
        <w:t xml:space="preserve">several </w:t>
      </w:r>
      <w:r w:rsidR="00EE7AE9">
        <w:rPr>
          <w:rFonts w:eastAsia="SimSun"/>
          <w:lang w:eastAsia="zh-CN"/>
        </w:rPr>
        <w:t>open issues for BWP operation. The proposals are summarized below</w:t>
      </w:r>
      <w:r w:rsidR="008054F9">
        <w:rPr>
          <w:rFonts w:eastAsia="SimSun"/>
          <w:lang w:eastAsia="zh-CN"/>
        </w:rPr>
        <w:t>:</w:t>
      </w:r>
    </w:p>
    <w:p w:rsidR="005E1D52" w:rsidRPr="005E1D52" w:rsidRDefault="00EE7AE9" w:rsidP="005E1D52">
      <w:pPr>
        <w:pStyle w:val="BodyText"/>
        <w:numPr>
          <w:ilvl w:val="0"/>
          <w:numId w:val="32"/>
        </w:numPr>
        <w:rPr>
          <w:rFonts w:eastAsia="SimSun"/>
          <w:lang w:eastAsia="zh-CN"/>
        </w:rPr>
      </w:pPr>
      <w:r>
        <w:rPr>
          <w:b/>
        </w:rPr>
        <w:t>Proposal 1</w:t>
      </w:r>
      <w:r w:rsidR="00F7326E" w:rsidRPr="00F7326E">
        <w:rPr>
          <w:b/>
        </w:rPr>
        <w:t xml:space="preserve">: </w:t>
      </w:r>
      <w:r w:rsidR="005E1D52" w:rsidRPr="005E1D52">
        <w:rPr>
          <w:rFonts w:eastAsia="SimSun"/>
          <w:b/>
          <w:lang w:eastAsia="zh-CN"/>
        </w:rPr>
        <w:t>If a configured SCell is activated for a UE</w:t>
      </w:r>
    </w:p>
    <w:p w:rsidR="005E1D52" w:rsidRDefault="005E1D52" w:rsidP="005E1D52">
      <w:pPr>
        <w:pStyle w:val="ListParagraph"/>
        <w:numPr>
          <w:ilvl w:val="1"/>
          <w:numId w:val="39"/>
        </w:numPr>
        <w:ind w:firstLineChars="0"/>
        <w:jc w:val="both"/>
        <w:rPr>
          <w:rFonts w:ascii="Times New Roman" w:hAnsi="Times New Roman" w:cs="Times New Roman"/>
          <w:b/>
          <w:sz w:val="20"/>
        </w:rPr>
      </w:pPr>
      <w:r>
        <w:rPr>
          <w:rFonts w:ascii="Times New Roman" w:hAnsi="Times New Roman" w:cs="Times New Roman"/>
          <w:b/>
          <w:sz w:val="20"/>
        </w:rPr>
        <w:t>A DL BWP is associated with an UL BWP at least for the purpose of PUCCH transmission.</w:t>
      </w:r>
    </w:p>
    <w:p w:rsidR="005E1D52" w:rsidRPr="005E1D52" w:rsidRDefault="005E1D52" w:rsidP="005E1D52">
      <w:pPr>
        <w:pStyle w:val="ListParagraph"/>
        <w:numPr>
          <w:ilvl w:val="1"/>
          <w:numId w:val="39"/>
        </w:numPr>
        <w:ind w:firstLineChars="0"/>
        <w:jc w:val="both"/>
        <w:rPr>
          <w:rFonts w:ascii="Times New Roman" w:hAnsi="Times New Roman" w:cs="Times New Roman"/>
          <w:b/>
          <w:sz w:val="20"/>
        </w:rPr>
      </w:pPr>
      <w:r w:rsidRPr="005E1D52">
        <w:rPr>
          <w:rFonts w:ascii="Times New Roman" w:hAnsi="Times New Roman" w:cs="Times New Roman"/>
          <w:b/>
          <w:sz w:val="20"/>
        </w:rPr>
        <w:t xml:space="preserve">A default DL BWP is also activated. If the UE is configured for UL transmission in same serving cell, a default UL BWP is activated.  </w:t>
      </w:r>
    </w:p>
    <w:p w:rsidR="00F7326E" w:rsidRDefault="00F7326E" w:rsidP="00F7326E">
      <w:pPr>
        <w:pStyle w:val="BodyText"/>
        <w:numPr>
          <w:ilvl w:val="0"/>
          <w:numId w:val="32"/>
        </w:numPr>
        <w:rPr>
          <w:rFonts w:eastAsia="SimSun"/>
          <w:b/>
          <w:lang w:eastAsia="zh-CN"/>
        </w:rPr>
      </w:pPr>
      <w:r w:rsidRPr="00F7326E">
        <w:rPr>
          <w:rFonts w:eastAsia="SimSun" w:hint="eastAsia"/>
          <w:b/>
          <w:lang w:eastAsia="zh-CN"/>
        </w:rPr>
        <w:lastRenderedPageBreak/>
        <w:t>Proposal</w:t>
      </w:r>
      <w:r w:rsidRPr="00F7326E">
        <w:rPr>
          <w:rFonts w:eastAsia="SimSun"/>
          <w:b/>
          <w:lang w:eastAsia="zh-CN"/>
        </w:rPr>
        <w:t xml:space="preserve"> </w:t>
      </w:r>
      <w:r w:rsidR="00EE7AE9">
        <w:rPr>
          <w:rFonts w:eastAsia="SimSun"/>
          <w:b/>
          <w:lang w:eastAsia="zh-CN"/>
        </w:rPr>
        <w:t>2</w:t>
      </w:r>
      <w:r w:rsidRPr="00F7326E">
        <w:rPr>
          <w:rFonts w:eastAsia="SimSun" w:hint="eastAsia"/>
          <w:b/>
          <w:lang w:eastAsia="zh-CN"/>
        </w:rPr>
        <w:t xml:space="preserve">: </w:t>
      </w:r>
      <w:r w:rsidR="000B74E8">
        <w:rPr>
          <w:b/>
        </w:rPr>
        <w:t xml:space="preserve">The maximum number of </w:t>
      </w:r>
      <w:r w:rsidR="000B74E8">
        <w:rPr>
          <w:b/>
        </w:rPr>
        <w:t xml:space="preserve">configured </w:t>
      </w:r>
      <w:r w:rsidR="000B74E8">
        <w:rPr>
          <w:b/>
        </w:rPr>
        <w:t>BWPs should be determined after RAN4’s decision on the minimum BW supported for eMBB UEs</w:t>
      </w:r>
      <w:r w:rsidR="000B74E8" w:rsidRPr="002D4467">
        <w:rPr>
          <w:b/>
        </w:rPr>
        <w:t>.</w:t>
      </w:r>
    </w:p>
    <w:p w:rsidR="00F7326E" w:rsidRPr="00F7326E" w:rsidRDefault="00EE7AE9" w:rsidP="00F7326E">
      <w:pPr>
        <w:pStyle w:val="BodyText"/>
        <w:numPr>
          <w:ilvl w:val="0"/>
          <w:numId w:val="32"/>
        </w:numPr>
        <w:rPr>
          <w:b/>
        </w:rPr>
      </w:pPr>
      <w:r>
        <w:rPr>
          <w:rFonts w:eastAsia="SimSun"/>
          <w:b/>
          <w:lang w:eastAsia="zh-CN"/>
        </w:rPr>
        <w:t>Proposal 3</w:t>
      </w:r>
      <w:r w:rsidR="00F7326E" w:rsidRPr="00F7326E">
        <w:rPr>
          <w:rFonts w:eastAsia="SimSun"/>
          <w:b/>
          <w:lang w:eastAsia="zh-CN"/>
        </w:rPr>
        <w:t xml:space="preserve">: </w:t>
      </w:r>
      <w:r w:rsidRPr="00EE7AE9">
        <w:rPr>
          <w:rFonts w:eastAsia="SimSun"/>
          <w:b/>
          <w:lang w:eastAsia="zh-CN"/>
        </w:rPr>
        <w:t>if a UE is configured with multiple BWPs, a BWP-indication field is present in DCI formats transmitted in a UE-specific search space indicating which BWP the scheduling assignment is for.</w:t>
      </w:r>
    </w:p>
    <w:p w:rsidR="00F7326E" w:rsidRPr="00F7326E" w:rsidRDefault="00EE7AE9" w:rsidP="00F7326E">
      <w:pPr>
        <w:pStyle w:val="BodyText"/>
        <w:numPr>
          <w:ilvl w:val="0"/>
          <w:numId w:val="32"/>
        </w:numPr>
        <w:rPr>
          <w:b/>
        </w:rPr>
      </w:pPr>
      <w:r>
        <w:rPr>
          <w:b/>
        </w:rPr>
        <w:t>Proposal 4</w:t>
      </w:r>
      <w:r w:rsidR="00F7326E" w:rsidRPr="00F7326E">
        <w:rPr>
          <w:b/>
        </w:rPr>
        <w:t xml:space="preserve">: </w:t>
      </w:r>
      <w:r w:rsidRPr="00EE7AE9">
        <w:rPr>
          <w:b/>
        </w:rPr>
        <w:t>The DCI format size matches the BW of the BWP in which the PDCCH is detected.</w:t>
      </w:r>
    </w:p>
    <w:p w:rsidR="00F7326E" w:rsidRDefault="00EE7AE9" w:rsidP="00F7326E">
      <w:pPr>
        <w:pStyle w:val="BodyText"/>
        <w:numPr>
          <w:ilvl w:val="0"/>
          <w:numId w:val="32"/>
        </w:numPr>
        <w:rPr>
          <w:b/>
        </w:rPr>
      </w:pPr>
      <w:r w:rsidRPr="00406CCE">
        <w:rPr>
          <w:b/>
        </w:rPr>
        <w:t xml:space="preserve">Proposal </w:t>
      </w:r>
      <w:r>
        <w:rPr>
          <w:b/>
        </w:rPr>
        <w:t>5</w:t>
      </w:r>
      <w:r w:rsidRPr="00406CCE">
        <w:rPr>
          <w:b/>
        </w:rPr>
        <w:t xml:space="preserve">: a </w:t>
      </w:r>
      <w:r>
        <w:rPr>
          <w:b/>
        </w:rPr>
        <w:t xml:space="preserve">new </w:t>
      </w:r>
      <w:r w:rsidRPr="00406CCE">
        <w:rPr>
          <w:b/>
        </w:rPr>
        <w:t>timer</w:t>
      </w:r>
      <w:r>
        <w:rPr>
          <w:b/>
        </w:rPr>
        <w:t xml:space="preserve">, separate from DRX configuration, </w:t>
      </w:r>
      <w:r w:rsidRPr="00406CCE">
        <w:rPr>
          <w:b/>
        </w:rPr>
        <w:t>is introduced for switching the</w:t>
      </w:r>
      <w:r>
        <w:rPr>
          <w:b/>
        </w:rPr>
        <w:t xml:space="preserve"> active</w:t>
      </w:r>
      <w:r w:rsidRPr="00406CCE">
        <w:rPr>
          <w:b/>
        </w:rPr>
        <w:t xml:space="preserve"> DL BWP back to the default </w:t>
      </w:r>
      <w:r>
        <w:rPr>
          <w:b/>
        </w:rPr>
        <w:t xml:space="preserve">DL </w:t>
      </w:r>
      <w:r w:rsidRPr="00406CCE">
        <w:rPr>
          <w:b/>
        </w:rPr>
        <w:t>BWP</w:t>
      </w:r>
    </w:p>
    <w:p w:rsidR="00EE7AE9" w:rsidRPr="00EE7AE9" w:rsidRDefault="00EE7AE9" w:rsidP="00EE7AE9">
      <w:pPr>
        <w:pStyle w:val="ListParagraph"/>
        <w:numPr>
          <w:ilvl w:val="0"/>
          <w:numId w:val="32"/>
        </w:numPr>
        <w:ind w:firstLineChars="0"/>
        <w:rPr>
          <w:rFonts w:ascii="Times New Roman" w:hAnsi="Times New Roman" w:cs="Times New Roman"/>
          <w:b/>
          <w:sz w:val="20"/>
        </w:rPr>
      </w:pPr>
      <w:r w:rsidRPr="00EE7AE9">
        <w:rPr>
          <w:rFonts w:ascii="Times New Roman" w:hAnsi="Times New Roman" w:cs="Times New Roman"/>
          <w:b/>
          <w:sz w:val="20"/>
        </w:rPr>
        <w:t>Proposal 6: for each configured DL BWP, a group-common search space is associated with at least one CORESET configured for the same DL BWP.</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1D5131" w:rsidRDefault="001D5131" w:rsidP="001D5131">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94539557"/>
      <w:bookmarkStart w:id="5" w:name="_Ref492471095"/>
      <w:bookmarkStart w:id="6" w:name="_Ref489862743"/>
      <w:bookmarkStart w:id="7" w:name="_Ref494442760"/>
      <w:bookmarkStart w:id="8" w:name="_Ref489862339"/>
      <w:bookmarkStart w:id="9" w:name="_Ref484795456"/>
      <w:bookmarkStart w:id="10" w:name="_Ref473632999"/>
      <w:bookmarkStart w:id="11" w:name="_Ref477464042"/>
      <w:bookmarkStart w:id="12" w:name="_Ref481506070"/>
      <w:bookmarkStart w:id="13" w:name="_Ref484777052"/>
      <w:r>
        <w:rPr>
          <w:rFonts w:eastAsia="SimSun"/>
          <w:noProof/>
          <w:lang w:eastAsia="zh-CN"/>
        </w:rPr>
        <w:t>R1-17168</w:t>
      </w:r>
      <w:r w:rsidR="003E382E">
        <w:rPr>
          <w:rFonts w:eastAsia="SimSun"/>
          <w:noProof/>
          <w:lang w:eastAsia="zh-CN"/>
        </w:rPr>
        <w:t>32</w:t>
      </w:r>
      <w:r>
        <w:rPr>
          <w:rFonts w:eastAsia="SimSun"/>
          <w:noProof/>
          <w:lang w:eastAsia="zh-CN"/>
        </w:rPr>
        <w:t>, “</w:t>
      </w:r>
      <w:r w:rsidR="003E382E" w:rsidRPr="003E382E">
        <w:rPr>
          <w:rFonts w:eastAsia="SimSun"/>
          <w:noProof/>
          <w:lang w:eastAsia="zh-CN"/>
        </w:rPr>
        <w:t>Summary of Offline Discussion on Bandwidth Part Operation</w:t>
      </w:r>
      <w:r>
        <w:rPr>
          <w:rFonts w:eastAsia="SimSun"/>
          <w:noProof/>
          <w:lang w:eastAsia="zh-CN"/>
        </w:rPr>
        <w:t xml:space="preserve">”, </w:t>
      </w:r>
      <w:r w:rsidR="003E382E">
        <w:rPr>
          <w:rFonts w:eastAsia="SimSun"/>
          <w:noProof/>
          <w:lang w:eastAsia="zh-CN"/>
        </w:rPr>
        <w:t>MediaTek</w:t>
      </w:r>
      <w:r>
        <w:rPr>
          <w:rFonts w:eastAsia="SimSun"/>
          <w:noProof/>
          <w:lang w:eastAsia="zh-CN"/>
        </w:rPr>
        <w:t>, RAN1 AH #NR3</w:t>
      </w:r>
      <w:bookmarkEnd w:id="4"/>
    </w:p>
    <w:p w:rsidR="0061428D" w:rsidRDefault="00235030" w:rsidP="003E382E">
      <w:pPr>
        <w:pStyle w:val="BodyText"/>
        <w:numPr>
          <w:ilvl w:val="1"/>
          <w:numId w:val="1"/>
        </w:numPr>
        <w:tabs>
          <w:tab w:val="clear" w:pos="1545"/>
          <w:tab w:val="left" w:pos="0"/>
          <w:tab w:val="left" w:pos="540"/>
        </w:tabs>
        <w:ind w:left="540" w:hangingChars="270" w:hanging="540"/>
        <w:rPr>
          <w:rFonts w:eastAsia="SimSun"/>
          <w:noProof/>
          <w:lang w:eastAsia="zh-CN"/>
        </w:rPr>
      </w:pPr>
      <w:bookmarkStart w:id="14" w:name="_Ref494539698"/>
      <w:bookmarkStart w:id="15" w:name="_Ref494632892"/>
      <w:r>
        <w:rPr>
          <w:rFonts w:eastAsia="SimSun"/>
          <w:noProof/>
          <w:lang w:eastAsia="zh-CN"/>
        </w:rPr>
        <w:t>R</w:t>
      </w:r>
      <w:r w:rsidR="00503D03">
        <w:rPr>
          <w:rFonts w:eastAsia="SimSun"/>
          <w:noProof/>
          <w:lang w:eastAsia="zh-CN"/>
        </w:rPr>
        <w:t>4-1709075</w:t>
      </w:r>
      <w:r>
        <w:rPr>
          <w:rFonts w:eastAsia="SimSun"/>
          <w:noProof/>
          <w:lang w:eastAsia="zh-CN"/>
        </w:rPr>
        <w:t>, “</w:t>
      </w:r>
      <w:r w:rsidR="00503D03" w:rsidRPr="00503D03">
        <w:t>Way forward on spectrum utilization</w:t>
      </w:r>
      <w:r>
        <w:rPr>
          <w:rFonts w:eastAsia="SimSun"/>
          <w:noProof/>
          <w:lang w:eastAsia="zh-CN"/>
        </w:rPr>
        <w:t xml:space="preserve">”, </w:t>
      </w:r>
      <w:r w:rsidR="00503D03" w:rsidRPr="00503D03">
        <w:rPr>
          <w:rFonts w:eastAsia="SimSun"/>
          <w:noProof/>
          <w:lang w:eastAsia="zh-CN"/>
        </w:rPr>
        <w:t>Samsung, Qualcomm, Intel, Ericsson, Nokia</w:t>
      </w:r>
      <w:r w:rsidR="00503D03">
        <w:rPr>
          <w:rFonts w:eastAsia="SimSun"/>
          <w:noProof/>
          <w:lang w:eastAsia="zh-CN"/>
        </w:rPr>
        <w:t>, RAN4</w:t>
      </w:r>
      <w:r>
        <w:rPr>
          <w:rFonts w:eastAsia="SimSun"/>
          <w:noProof/>
          <w:lang w:eastAsia="zh-CN"/>
        </w:rPr>
        <w:t xml:space="preserve"> #</w:t>
      </w:r>
      <w:bookmarkEnd w:id="5"/>
      <w:bookmarkEnd w:id="6"/>
      <w:bookmarkEnd w:id="7"/>
      <w:bookmarkEnd w:id="8"/>
      <w:bookmarkEnd w:id="9"/>
      <w:bookmarkEnd w:id="10"/>
      <w:bookmarkEnd w:id="11"/>
      <w:bookmarkEnd w:id="12"/>
      <w:bookmarkEnd w:id="13"/>
      <w:bookmarkEnd w:id="14"/>
      <w:r w:rsidR="00503D03">
        <w:rPr>
          <w:rFonts w:eastAsia="SimSun"/>
          <w:noProof/>
          <w:lang w:eastAsia="zh-CN"/>
        </w:rPr>
        <w:t>84</w:t>
      </w:r>
      <w:bookmarkEnd w:id="15"/>
    </w:p>
    <w:p w:rsidR="000B7B81" w:rsidRPr="003E382E" w:rsidRDefault="000B7B81" w:rsidP="003E382E">
      <w:pPr>
        <w:pStyle w:val="BodyText"/>
        <w:numPr>
          <w:ilvl w:val="1"/>
          <w:numId w:val="1"/>
        </w:numPr>
        <w:tabs>
          <w:tab w:val="clear" w:pos="1545"/>
          <w:tab w:val="left" w:pos="0"/>
          <w:tab w:val="left" w:pos="540"/>
        </w:tabs>
        <w:ind w:left="540" w:hangingChars="270" w:hanging="540"/>
        <w:rPr>
          <w:rFonts w:eastAsia="SimSun"/>
          <w:noProof/>
          <w:lang w:eastAsia="zh-CN"/>
        </w:rPr>
      </w:pPr>
      <w:bookmarkStart w:id="16" w:name="_Ref494633975"/>
      <w:r>
        <w:rPr>
          <w:rFonts w:eastAsia="SimSun"/>
          <w:noProof/>
          <w:lang w:eastAsia="zh-CN"/>
        </w:rPr>
        <w:t>R1-1717833, “</w:t>
      </w:r>
      <w:r w:rsidRPr="000B7B81">
        <w:rPr>
          <w:rFonts w:eastAsia="SimSun"/>
          <w:noProof/>
          <w:lang w:eastAsia="zh-CN"/>
        </w:rPr>
        <w:t>PDSCH and PUSCH resource allocation</w:t>
      </w:r>
      <w:r>
        <w:rPr>
          <w:rFonts w:eastAsia="SimSun"/>
          <w:noProof/>
          <w:lang w:eastAsia="zh-CN"/>
        </w:rPr>
        <w:t>”, CATT, RAN1 #90bis</w:t>
      </w:r>
      <w:bookmarkEnd w:id="16"/>
    </w:p>
    <w:sectPr w:rsidR="000B7B81" w:rsidRPr="003E382E"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9D0" w:rsidRDefault="00A479D0" w:rsidP="00E9523A">
      <w:pPr>
        <w:ind w:left="-2"/>
      </w:pPr>
      <w:r>
        <w:separator/>
      </w:r>
    </w:p>
  </w:endnote>
  <w:endnote w:type="continuationSeparator" w:id="1">
    <w:p w:rsidR="00A479D0" w:rsidRDefault="00A479D0"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9D0" w:rsidRDefault="00A479D0" w:rsidP="00E9523A">
      <w:pPr>
        <w:ind w:left="-2"/>
      </w:pPr>
      <w:r>
        <w:separator/>
      </w:r>
    </w:p>
  </w:footnote>
  <w:footnote w:type="continuationSeparator" w:id="1">
    <w:p w:rsidR="00A479D0" w:rsidRDefault="00A479D0"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62" w:rsidRPr="001A329E" w:rsidRDefault="00C37D62"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6">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A641FA"/>
    <w:multiLevelType w:val="hybridMultilevel"/>
    <w:tmpl w:val="85D6C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4">
    <w:nsid w:val="30502A8A"/>
    <w:multiLevelType w:val="hybridMultilevel"/>
    <w:tmpl w:val="5644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8">
    <w:nsid w:val="3EC8511F"/>
    <w:multiLevelType w:val="hybridMultilevel"/>
    <w:tmpl w:val="8D32273C"/>
    <w:lvl w:ilvl="0" w:tplc="9D80D2CE">
      <w:start w:val="1"/>
      <w:numFmt w:val="bullet"/>
      <w:lvlText w:val="•"/>
      <w:lvlJc w:val="left"/>
      <w:pPr>
        <w:tabs>
          <w:tab w:val="num" w:pos="720"/>
        </w:tabs>
        <w:ind w:left="720" w:hanging="360"/>
      </w:pPr>
      <w:rPr>
        <w:rFonts w:ascii="Arial" w:hAnsi="Arial" w:hint="default"/>
      </w:rPr>
    </w:lvl>
    <w:lvl w:ilvl="1" w:tplc="D6AAC440">
      <w:start w:val="1"/>
      <w:numFmt w:val="bullet"/>
      <w:lvlText w:val="•"/>
      <w:lvlJc w:val="left"/>
      <w:pPr>
        <w:tabs>
          <w:tab w:val="num" w:pos="1440"/>
        </w:tabs>
        <w:ind w:left="1440" w:hanging="360"/>
      </w:pPr>
      <w:rPr>
        <w:rFonts w:ascii="Arial" w:hAnsi="Arial" w:hint="default"/>
      </w:rPr>
    </w:lvl>
    <w:lvl w:ilvl="2" w:tplc="5AD063CA">
      <w:start w:val="2995"/>
      <w:numFmt w:val="bullet"/>
      <w:lvlText w:val="•"/>
      <w:lvlJc w:val="left"/>
      <w:pPr>
        <w:tabs>
          <w:tab w:val="num" w:pos="2160"/>
        </w:tabs>
        <w:ind w:left="2160" w:hanging="360"/>
      </w:pPr>
      <w:rPr>
        <w:rFonts w:ascii="Arial" w:hAnsi="Arial" w:hint="default"/>
      </w:rPr>
    </w:lvl>
    <w:lvl w:ilvl="3" w:tplc="941679CC">
      <w:start w:val="2995"/>
      <w:numFmt w:val="bullet"/>
      <w:lvlText w:val="•"/>
      <w:lvlJc w:val="left"/>
      <w:pPr>
        <w:tabs>
          <w:tab w:val="num" w:pos="2880"/>
        </w:tabs>
        <w:ind w:left="2880" w:hanging="360"/>
      </w:pPr>
      <w:rPr>
        <w:rFonts w:ascii="Arial" w:hAnsi="Arial" w:hint="default"/>
      </w:rPr>
    </w:lvl>
    <w:lvl w:ilvl="4" w:tplc="F2704146" w:tentative="1">
      <w:start w:val="1"/>
      <w:numFmt w:val="bullet"/>
      <w:lvlText w:val="•"/>
      <w:lvlJc w:val="left"/>
      <w:pPr>
        <w:tabs>
          <w:tab w:val="num" w:pos="3600"/>
        </w:tabs>
        <w:ind w:left="3600" w:hanging="360"/>
      </w:pPr>
      <w:rPr>
        <w:rFonts w:ascii="Arial" w:hAnsi="Arial" w:hint="default"/>
      </w:rPr>
    </w:lvl>
    <w:lvl w:ilvl="5" w:tplc="96D05560" w:tentative="1">
      <w:start w:val="1"/>
      <w:numFmt w:val="bullet"/>
      <w:lvlText w:val="•"/>
      <w:lvlJc w:val="left"/>
      <w:pPr>
        <w:tabs>
          <w:tab w:val="num" w:pos="4320"/>
        </w:tabs>
        <w:ind w:left="4320" w:hanging="360"/>
      </w:pPr>
      <w:rPr>
        <w:rFonts w:ascii="Arial" w:hAnsi="Arial" w:hint="default"/>
      </w:rPr>
    </w:lvl>
    <w:lvl w:ilvl="6" w:tplc="BFDCE4F8" w:tentative="1">
      <w:start w:val="1"/>
      <w:numFmt w:val="bullet"/>
      <w:lvlText w:val="•"/>
      <w:lvlJc w:val="left"/>
      <w:pPr>
        <w:tabs>
          <w:tab w:val="num" w:pos="5040"/>
        </w:tabs>
        <w:ind w:left="5040" w:hanging="360"/>
      </w:pPr>
      <w:rPr>
        <w:rFonts w:ascii="Arial" w:hAnsi="Arial" w:hint="default"/>
      </w:rPr>
    </w:lvl>
    <w:lvl w:ilvl="7" w:tplc="A326527A" w:tentative="1">
      <w:start w:val="1"/>
      <w:numFmt w:val="bullet"/>
      <w:lvlText w:val="•"/>
      <w:lvlJc w:val="left"/>
      <w:pPr>
        <w:tabs>
          <w:tab w:val="num" w:pos="5760"/>
        </w:tabs>
        <w:ind w:left="5760" w:hanging="360"/>
      </w:pPr>
      <w:rPr>
        <w:rFonts w:ascii="Arial" w:hAnsi="Arial" w:hint="default"/>
      </w:rPr>
    </w:lvl>
    <w:lvl w:ilvl="8" w:tplc="649E6BEE" w:tentative="1">
      <w:start w:val="1"/>
      <w:numFmt w:val="bullet"/>
      <w:lvlText w:val="•"/>
      <w:lvlJc w:val="left"/>
      <w:pPr>
        <w:tabs>
          <w:tab w:val="num" w:pos="6480"/>
        </w:tabs>
        <w:ind w:left="6480" w:hanging="360"/>
      </w:pPr>
      <w:rPr>
        <w:rFonts w:ascii="Arial" w:hAnsi="Arial" w:hint="default"/>
      </w:rPr>
    </w:lvl>
  </w:abstractNum>
  <w:abstractNum w:abstractNumId="19">
    <w:nsid w:val="436537B0"/>
    <w:multiLevelType w:val="hybridMultilevel"/>
    <w:tmpl w:val="1B7EF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4A6FBE"/>
    <w:multiLevelType w:val="hybridMultilevel"/>
    <w:tmpl w:val="363CF890"/>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1">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5">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8">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2">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5"/>
  </w:num>
  <w:num w:numId="4">
    <w:abstractNumId w:val="31"/>
  </w:num>
  <w:num w:numId="5">
    <w:abstractNumId w:val="12"/>
  </w:num>
  <w:num w:numId="6">
    <w:abstractNumId w:val="21"/>
  </w:num>
  <w:num w:numId="7">
    <w:abstractNumId w:val="1"/>
  </w:num>
  <w:num w:numId="8">
    <w:abstractNumId w:val="35"/>
  </w:num>
  <w:num w:numId="9">
    <w:abstractNumId w:val="7"/>
  </w:num>
  <w:num w:numId="10">
    <w:abstractNumId w:val="16"/>
  </w:num>
  <w:num w:numId="11">
    <w:abstractNumId w:val="34"/>
  </w:num>
  <w:num w:numId="12">
    <w:abstractNumId w:val="11"/>
  </w:num>
  <w:num w:numId="13">
    <w:abstractNumId w:val="36"/>
  </w:num>
  <w:num w:numId="14">
    <w:abstractNumId w:val="26"/>
  </w:num>
  <w:num w:numId="15">
    <w:abstractNumId w:val="3"/>
  </w:num>
  <w:num w:numId="16">
    <w:abstractNumId w:val="2"/>
  </w:num>
  <w:num w:numId="17">
    <w:abstractNumId w:val="30"/>
  </w:num>
  <w:num w:numId="18">
    <w:abstractNumId w:val="23"/>
  </w:num>
  <w:num w:numId="19">
    <w:abstractNumId w:val="4"/>
  </w:num>
  <w:num w:numId="20">
    <w:abstractNumId w:val="25"/>
  </w:num>
  <w:num w:numId="21">
    <w:abstractNumId w:val="24"/>
  </w:num>
  <w:num w:numId="22">
    <w:abstractNumId w:val="38"/>
  </w:num>
  <w:num w:numId="23">
    <w:abstractNumId w:val="37"/>
  </w:num>
  <w:num w:numId="24">
    <w:abstractNumId w:val="22"/>
  </w:num>
  <w:num w:numId="25">
    <w:abstractNumId w:val="6"/>
  </w:num>
  <w:num w:numId="26">
    <w:abstractNumId w:val="9"/>
  </w:num>
  <w:num w:numId="27">
    <w:abstractNumId w:val="8"/>
  </w:num>
  <w:num w:numId="28">
    <w:abstractNumId w:val="33"/>
  </w:num>
  <w:num w:numId="29">
    <w:abstractNumId w:val="13"/>
  </w:num>
  <w:num w:numId="30">
    <w:abstractNumId w:val="27"/>
  </w:num>
  <w:num w:numId="31">
    <w:abstractNumId w:val="17"/>
  </w:num>
  <w:num w:numId="32">
    <w:abstractNumId w:val="20"/>
  </w:num>
  <w:num w:numId="33">
    <w:abstractNumId w:val="18"/>
  </w:num>
  <w:num w:numId="34">
    <w:abstractNumId w:val="14"/>
  </w:num>
  <w:num w:numId="35">
    <w:abstractNumId w:val="28"/>
  </w:num>
  <w:num w:numId="36">
    <w:abstractNumId w:val="32"/>
  </w:num>
  <w:num w:numId="37">
    <w:abstractNumId w:val="10"/>
  </w:num>
  <w:num w:numId="38">
    <w:abstractNumId w:val="5"/>
  </w:num>
  <w:num w:numId="39">
    <w:abstractNumId w:val="1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6864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013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922"/>
    <w:rsid w:val="00090F89"/>
    <w:rsid w:val="000924D0"/>
    <w:rsid w:val="0009369C"/>
    <w:rsid w:val="00093F31"/>
    <w:rsid w:val="00094E92"/>
    <w:rsid w:val="0009508B"/>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4E8"/>
    <w:rsid w:val="000B760E"/>
    <w:rsid w:val="000B7B81"/>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DCD"/>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208"/>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4CC"/>
    <w:rsid w:val="00123937"/>
    <w:rsid w:val="0012437C"/>
    <w:rsid w:val="001245F5"/>
    <w:rsid w:val="001248EB"/>
    <w:rsid w:val="00125169"/>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4AA"/>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44B"/>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805"/>
    <w:rsid w:val="001C3954"/>
    <w:rsid w:val="001C3C6C"/>
    <w:rsid w:val="001C3D19"/>
    <w:rsid w:val="001C3EEB"/>
    <w:rsid w:val="001C4CC5"/>
    <w:rsid w:val="001C5183"/>
    <w:rsid w:val="001C5360"/>
    <w:rsid w:val="001C5770"/>
    <w:rsid w:val="001C5C57"/>
    <w:rsid w:val="001C641E"/>
    <w:rsid w:val="001C6C75"/>
    <w:rsid w:val="001D15B5"/>
    <w:rsid w:val="001D2F70"/>
    <w:rsid w:val="001D322B"/>
    <w:rsid w:val="001D3927"/>
    <w:rsid w:val="001D4B41"/>
    <w:rsid w:val="001D513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CDB"/>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D69"/>
    <w:rsid w:val="00222E3A"/>
    <w:rsid w:val="00223C5E"/>
    <w:rsid w:val="00224F2F"/>
    <w:rsid w:val="00224FA3"/>
    <w:rsid w:val="002274B4"/>
    <w:rsid w:val="00230796"/>
    <w:rsid w:val="00230EC2"/>
    <w:rsid w:val="002315DD"/>
    <w:rsid w:val="00231D7B"/>
    <w:rsid w:val="00231E88"/>
    <w:rsid w:val="0023202A"/>
    <w:rsid w:val="00232229"/>
    <w:rsid w:val="00233DCB"/>
    <w:rsid w:val="00233E6A"/>
    <w:rsid w:val="00234013"/>
    <w:rsid w:val="00234541"/>
    <w:rsid w:val="00235030"/>
    <w:rsid w:val="00235446"/>
    <w:rsid w:val="00235763"/>
    <w:rsid w:val="00236355"/>
    <w:rsid w:val="002367CF"/>
    <w:rsid w:val="00236AF5"/>
    <w:rsid w:val="00236DB3"/>
    <w:rsid w:val="00236EC9"/>
    <w:rsid w:val="002373E4"/>
    <w:rsid w:val="002375AD"/>
    <w:rsid w:val="00237712"/>
    <w:rsid w:val="002379AF"/>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C59"/>
    <w:rsid w:val="00297E60"/>
    <w:rsid w:val="002A0246"/>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57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C7F02"/>
    <w:rsid w:val="002D0A16"/>
    <w:rsid w:val="002D0D81"/>
    <w:rsid w:val="002D1B8B"/>
    <w:rsid w:val="002D29A3"/>
    <w:rsid w:val="002D31BD"/>
    <w:rsid w:val="002D35F7"/>
    <w:rsid w:val="002D36D9"/>
    <w:rsid w:val="002D3F8C"/>
    <w:rsid w:val="002D4467"/>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14B0"/>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A25"/>
    <w:rsid w:val="00323CC3"/>
    <w:rsid w:val="00323EB3"/>
    <w:rsid w:val="00323F57"/>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2659"/>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0DF5"/>
    <w:rsid w:val="003E1A33"/>
    <w:rsid w:val="003E24F7"/>
    <w:rsid w:val="003E2DD0"/>
    <w:rsid w:val="003E2FA7"/>
    <w:rsid w:val="003E3145"/>
    <w:rsid w:val="003E382E"/>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3C0"/>
    <w:rsid w:val="00404FD9"/>
    <w:rsid w:val="00405172"/>
    <w:rsid w:val="004055E5"/>
    <w:rsid w:val="004056DA"/>
    <w:rsid w:val="00405C40"/>
    <w:rsid w:val="00406A08"/>
    <w:rsid w:val="00406CCE"/>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12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2779"/>
    <w:rsid w:val="004635F6"/>
    <w:rsid w:val="0046478E"/>
    <w:rsid w:val="00465AE7"/>
    <w:rsid w:val="00465D62"/>
    <w:rsid w:val="004660FC"/>
    <w:rsid w:val="004666D8"/>
    <w:rsid w:val="00466B8E"/>
    <w:rsid w:val="00466B9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2628"/>
    <w:rsid w:val="004B4A1A"/>
    <w:rsid w:val="004B592A"/>
    <w:rsid w:val="004B6F4E"/>
    <w:rsid w:val="004B7107"/>
    <w:rsid w:val="004B7563"/>
    <w:rsid w:val="004B7B3F"/>
    <w:rsid w:val="004C001B"/>
    <w:rsid w:val="004C04B7"/>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4EB9"/>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D03"/>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437B"/>
    <w:rsid w:val="0054545C"/>
    <w:rsid w:val="005462E7"/>
    <w:rsid w:val="00546E92"/>
    <w:rsid w:val="00550479"/>
    <w:rsid w:val="00550D6E"/>
    <w:rsid w:val="00552FD9"/>
    <w:rsid w:val="00553E3E"/>
    <w:rsid w:val="00554745"/>
    <w:rsid w:val="00554F50"/>
    <w:rsid w:val="00555659"/>
    <w:rsid w:val="005560F6"/>
    <w:rsid w:val="00556315"/>
    <w:rsid w:val="00556460"/>
    <w:rsid w:val="00556E64"/>
    <w:rsid w:val="00557968"/>
    <w:rsid w:val="00557A50"/>
    <w:rsid w:val="00557B73"/>
    <w:rsid w:val="00557B97"/>
    <w:rsid w:val="00560185"/>
    <w:rsid w:val="0056120A"/>
    <w:rsid w:val="005617D4"/>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67E5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683"/>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168"/>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CD"/>
    <w:rsid w:val="005B32D3"/>
    <w:rsid w:val="005B3EE7"/>
    <w:rsid w:val="005B41F7"/>
    <w:rsid w:val="005B433B"/>
    <w:rsid w:val="005B4D76"/>
    <w:rsid w:val="005B517D"/>
    <w:rsid w:val="005B6156"/>
    <w:rsid w:val="005B762A"/>
    <w:rsid w:val="005B7AE7"/>
    <w:rsid w:val="005C25B6"/>
    <w:rsid w:val="005C2AF8"/>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1D52"/>
    <w:rsid w:val="005E591D"/>
    <w:rsid w:val="005E5F9E"/>
    <w:rsid w:val="005E6581"/>
    <w:rsid w:val="005E7304"/>
    <w:rsid w:val="005E7E22"/>
    <w:rsid w:val="005F00D7"/>
    <w:rsid w:val="005F0351"/>
    <w:rsid w:val="005F0567"/>
    <w:rsid w:val="005F05FD"/>
    <w:rsid w:val="005F0BCA"/>
    <w:rsid w:val="005F22F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28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37ED4"/>
    <w:rsid w:val="006406D5"/>
    <w:rsid w:val="00640A1F"/>
    <w:rsid w:val="00641142"/>
    <w:rsid w:val="00641212"/>
    <w:rsid w:val="006419D8"/>
    <w:rsid w:val="00642216"/>
    <w:rsid w:val="00643210"/>
    <w:rsid w:val="00643346"/>
    <w:rsid w:val="006433BB"/>
    <w:rsid w:val="0064379A"/>
    <w:rsid w:val="0064464A"/>
    <w:rsid w:val="00644A3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88B"/>
    <w:rsid w:val="00672D98"/>
    <w:rsid w:val="00673F5A"/>
    <w:rsid w:val="006749C5"/>
    <w:rsid w:val="00675018"/>
    <w:rsid w:val="00675855"/>
    <w:rsid w:val="00675ADB"/>
    <w:rsid w:val="00675FC9"/>
    <w:rsid w:val="00676122"/>
    <w:rsid w:val="00676630"/>
    <w:rsid w:val="006769E8"/>
    <w:rsid w:val="00680D92"/>
    <w:rsid w:val="00681582"/>
    <w:rsid w:val="006824E8"/>
    <w:rsid w:val="0068265A"/>
    <w:rsid w:val="00682778"/>
    <w:rsid w:val="00683464"/>
    <w:rsid w:val="00684514"/>
    <w:rsid w:val="00684706"/>
    <w:rsid w:val="006847B6"/>
    <w:rsid w:val="00684EB2"/>
    <w:rsid w:val="006855E9"/>
    <w:rsid w:val="0068589E"/>
    <w:rsid w:val="00685935"/>
    <w:rsid w:val="00685B59"/>
    <w:rsid w:val="0068635A"/>
    <w:rsid w:val="00686C3B"/>
    <w:rsid w:val="00686DAC"/>
    <w:rsid w:val="0068716B"/>
    <w:rsid w:val="00687B2A"/>
    <w:rsid w:val="00687CF8"/>
    <w:rsid w:val="006901BE"/>
    <w:rsid w:val="0069046E"/>
    <w:rsid w:val="0069120C"/>
    <w:rsid w:val="0069183C"/>
    <w:rsid w:val="00691AA1"/>
    <w:rsid w:val="00691C80"/>
    <w:rsid w:val="0069212E"/>
    <w:rsid w:val="006924F3"/>
    <w:rsid w:val="00692795"/>
    <w:rsid w:val="0069295B"/>
    <w:rsid w:val="00692F11"/>
    <w:rsid w:val="0069364E"/>
    <w:rsid w:val="0069397A"/>
    <w:rsid w:val="00694C72"/>
    <w:rsid w:val="00694C79"/>
    <w:rsid w:val="00694EB6"/>
    <w:rsid w:val="0069576E"/>
    <w:rsid w:val="00695FD0"/>
    <w:rsid w:val="006968D5"/>
    <w:rsid w:val="006968E2"/>
    <w:rsid w:val="00696AF2"/>
    <w:rsid w:val="006976AA"/>
    <w:rsid w:val="00697AA5"/>
    <w:rsid w:val="00697B4E"/>
    <w:rsid w:val="006A0A1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790"/>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1B13"/>
    <w:rsid w:val="00721F81"/>
    <w:rsid w:val="0072302A"/>
    <w:rsid w:val="007235DC"/>
    <w:rsid w:val="007236A6"/>
    <w:rsid w:val="00723B5F"/>
    <w:rsid w:val="00723BDD"/>
    <w:rsid w:val="00723C2E"/>
    <w:rsid w:val="007246E9"/>
    <w:rsid w:val="00724B55"/>
    <w:rsid w:val="00725843"/>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EC2"/>
    <w:rsid w:val="007650F3"/>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3D13"/>
    <w:rsid w:val="007A4256"/>
    <w:rsid w:val="007A499A"/>
    <w:rsid w:val="007A49EF"/>
    <w:rsid w:val="007A60BB"/>
    <w:rsid w:val="007A7309"/>
    <w:rsid w:val="007A7811"/>
    <w:rsid w:val="007B0509"/>
    <w:rsid w:val="007B0EC2"/>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133"/>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A1"/>
    <w:rsid w:val="007D32B2"/>
    <w:rsid w:val="007D3E76"/>
    <w:rsid w:val="007D41FC"/>
    <w:rsid w:val="007D449F"/>
    <w:rsid w:val="007D4B1C"/>
    <w:rsid w:val="007D55B7"/>
    <w:rsid w:val="007D5AE7"/>
    <w:rsid w:val="007D5EDC"/>
    <w:rsid w:val="007D68E4"/>
    <w:rsid w:val="007D6A69"/>
    <w:rsid w:val="007E026D"/>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E98"/>
    <w:rsid w:val="00800248"/>
    <w:rsid w:val="00800393"/>
    <w:rsid w:val="00801523"/>
    <w:rsid w:val="00801613"/>
    <w:rsid w:val="0080189A"/>
    <w:rsid w:val="00801932"/>
    <w:rsid w:val="0080249D"/>
    <w:rsid w:val="00802B83"/>
    <w:rsid w:val="008036D9"/>
    <w:rsid w:val="00804E0C"/>
    <w:rsid w:val="008054F9"/>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5FD8"/>
    <w:rsid w:val="00836727"/>
    <w:rsid w:val="00836DBF"/>
    <w:rsid w:val="00837039"/>
    <w:rsid w:val="0083768C"/>
    <w:rsid w:val="00840A90"/>
    <w:rsid w:val="00840BC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23F"/>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F62"/>
    <w:rsid w:val="00885F67"/>
    <w:rsid w:val="00886B8F"/>
    <w:rsid w:val="00886F38"/>
    <w:rsid w:val="008872DF"/>
    <w:rsid w:val="00887D56"/>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481"/>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CA"/>
    <w:rsid w:val="009333E8"/>
    <w:rsid w:val="00933524"/>
    <w:rsid w:val="0093364A"/>
    <w:rsid w:val="00934317"/>
    <w:rsid w:val="00934A70"/>
    <w:rsid w:val="009351D9"/>
    <w:rsid w:val="00935326"/>
    <w:rsid w:val="0093546A"/>
    <w:rsid w:val="00935AA1"/>
    <w:rsid w:val="00936F46"/>
    <w:rsid w:val="0093717D"/>
    <w:rsid w:val="0093746E"/>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7F8"/>
    <w:rsid w:val="00977C74"/>
    <w:rsid w:val="00977C8C"/>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1D46"/>
    <w:rsid w:val="009E219B"/>
    <w:rsid w:val="009E258F"/>
    <w:rsid w:val="009E2737"/>
    <w:rsid w:val="009E3A61"/>
    <w:rsid w:val="009E40A1"/>
    <w:rsid w:val="009E4BE8"/>
    <w:rsid w:val="009E4C08"/>
    <w:rsid w:val="009E5D5A"/>
    <w:rsid w:val="009E6946"/>
    <w:rsid w:val="009E74A5"/>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B7A"/>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551"/>
    <w:rsid w:val="00A24745"/>
    <w:rsid w:val="00A252AC"/>
    <w:rsid w:val="00A25414"/>
    <w:rsid w:val="00A25510"/>
    <w:rsid w:val="00A25639"/>
    <w:rsid w:val="00A26382"/>
    <w:rsid w:val="00A26966"/>
    <w:rsid w:val="00A26E23"/>
    <w:rsid w:val="00A26EDC"/>
    <w:rsid w:val="00A272B7"/>
    <w:rsid w:val="00A2755C"/>
    <w:rsid w:val="00A279A6"/>
    <w:rsid w:val="00A31468"/>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700"/>
    <w:rsid w:val="00A479D0"/>
    <w:rsid w:val="00A47CBA"/>
    <w:rsid w:val="00A507AA"/>
    <w:rsid w:val="00A508CD"/>
    <w:rsid w:val="00A50EE3"/>
    <w:rsid w:val="00A51572"/>
    <w:rsid w:val="00A51A1A"/>
    <w:rsid w:val="00A51B12"/>
    <w:rsid w:val="00A51BA5"/>
    <w:rsid w:val="00A520FC"/>
    <w:rsid w:val="00A5260F"/>
    <w:rsid w:val="00A52DE3"/>
    <w:rsid w:val="00A52F7E"/>
    <w:rsid w:val="00A53151"/>
    <w:rsid w:val="00A54009"/>
    <w:rsid w:val="00A541B8"/>
    <w:rsid w:val="00A5448A"/>
    <w:rsid w:val="00A5458D"/>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0C15"/>
    <w:rsid w:val="00AA138F"/>
    <w:rsid w:val="00AA243E"/>
    <w:rsid w:val="00AA2981"/>
    <w:rsid w:val="00AA35F2"/>
    <w:rsid w:val="00AA37B4"/>
    <w:rsid w:val="00AA39C4"/>
    <w:rsid w:val="00AA4E0E"/>
    <w:rsid w:val="00AA4E5A"/>
    <w:rsid w:val="00AA6C1B"/>
    <w:rsid w:val="00AA7EE7"/>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AE0"/>
    <w:rsid w:val="00AC3C46"/>
    <w:rsid w:val="00AC42F1"/>
    <w:rsid w:val="00AC60E1"/>
    <w:rsid w:val="00AC6521"/>
    <w:rsid w:val="00AC688D"/>
    <w:rsid w:val="00AC6A9F"/>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5F19"/>
    <w:rsid w:val="00AE645A"/>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4F5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1C25"/>
    <w:rsid w:val="00BE25E7"/>
    <w:rsid w:val="00BE37E1"/>
    <w:rsid w:val="00BE390D"/>
    <w:rsid w:val="00BE3F6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37D62"/>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E54"/>
    <w:rsid w:val="00C511D1"/>
    <w:rsid w:val="00C52465"/>
    <w:rsid w:val="00C52C5B"/>
    <w:rsid w:val="00C53339"/>
    <w:rsid w:val="00C53446"/>
    <w:rsid w:val="00C53EBD"/>
    <w:rsid w:val="00C54FFD"/>
    <w:rsid w:val="00C55815"/>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60C1"/>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3B5D"/>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2A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37"/>
    <w:rsid w:val="00D32CA5"/>
    <w:rsid w:val="00D33AC1"/>
    <w:rsid w:val="00D35B2F"/>
    <w:rsid w:val="00D36E52"/>
    <w:rsid w:val="00D37A1C"/>
    <w:rsid w:val="00D402E2"/>
    <w:rsid w:val="00D413A7"/>
    <w:rsid w:val="00D41482"/>
    <w:rsid w:val="00D4264C"/>
    <w:rsid w:val="00D43096"/>
    <w:rsid w:val="00D43AEF"/>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5F82"/>
    <w:rsid w:val="00D6615C"/>
    <w:rsid w:val="00D663A2"/>
    <w:rsid w:val="00D672B9"/>
    <w:rsid w:val="00D67AF4"/>
    <w:rsid w:val="00D724D0"/>
    <w:rsid w:val="00D7328D"/>
    <w:rsid w:val="00D74FD0"/>
    <w:rsid w:val="00D75C29"/>
    <w:rsid w:val="00D763D4"/>
    <w:rsid w:val="00D774E8"/>
    <w:rsid w:val="00D8015B"/>
    <w:rsid w:val="00D804E9"/>
    <w:rsid w:val="00D807E1"/>
    <w:rsid w:val="00D8137B"/>
    <w:rsid w:val="00D814BF"/>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675"/>
    <w:rsid w:val="00DB4BCB"/>
    <w:rsid w:val="00DB4DF0"/>
    <w:rsid w:val="00DB50C3"/>
    <w:rsid w:val="00DB56D6"/>
    <w:rsid w:val="00DB5BEA"/>
    <w:rsid w:val="00DB7858"/>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006"/>
    <w:rsid w:val="00DF0859"/>
    <w:rsid w:val="00DF1A39"/>
    <w:rsid w:val="00DF20F3"/>
    <w:rsid w:val="00DF2307"/>
    <w:rsid w:val="00DF3813"/>
    <w:rsid w:val="00DF3F9A"/>
    <w:rsid w:val="00DF46EB"/>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3C8"/>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0A55"/>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534A"/>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AE9"/>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3CCA"/>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194"/>
    <w:rsid w:val="00F16DD9"/>
    <w:rsid w:val="00F178A3"/>
    <w:rsid w:val="00F17FBF"/>
    <w:rsid w:val="00F21100"/>
    <w:rsid w:val="00F21D64"/>
    <w:rsid w:val="00F21F6A"/>
    <w:rsid w:val="00F2212C"/>
    <w:rsid w:val="00F2358D"/>
    <w:rsid w:val="00F237B4"/>
    <w:rsid w:val="00F23E40"/>
    <w:rsid w:val="00F243D6"/>
    <w:rsid w:val="00F2694D"/>
    <w:rsid w:val="00F26B9C"/>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5F7"/>
    <w:rsid w:val="00F422D7"/>
    <w:rsid w:val="00F43DC1"/>
    <w:rsid w:val="00F4421C"/>
    <w:rsid w:val="00F44411"/>
    <w:rsid w:val="00F44F8A"/>
    <w:rsid w:val="00F45E2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26E"/>
    <w:rsid w:val="00F736EE"/>
    <w:rsid w:val="00F7373B"/>
    <w:rsid w:val="00F738DC"/>
    <w:rsid w:val="00F73A27"/>
    <w:rsid w:val="00F73BE3"/>
    <w:rsid w:val="00F740CC"/>
    <w:rsid w:val="00F742D7"/>
    <w:rsid w:val="00F74C9E"/>
    <w:rsid w:val="00F761A9"/>
    <w:rsid w:val="00F7670D"/>
    <w:rsid w:val="00F77910"/>
    <w:rsid w:val="00F77F7B"/>
    <w:rsid w:val="00F8014A"/>
    <w:rsid w:val="00F80B8F"/>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0C1F"/>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3CF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 w:type="paragraph" w:customStyle="1" w:styleId="CharChar1CharCharCharCharCharCharCharCharCharCharCharCharCharCharChar">
    <w:name w:val="Char Char1 Char Char Char Char Char Char Char Char Char Char Char Char Char Char Char"/>
    <w:semiHidden/>
    <w:rsid w:val="00A04B7A"/>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4606076">
      <w:bodyDiv w:val="1"/>
      <w:marLeft w:val="0"/>
      <w:marRight w:val="0"/>
      <w:marTop w:val="0"/>
      <w:marBottom w:val="0"/>
      <w:divBdr>
        <w:top w:val="none" w:sz="0" w:space="0" w:color="auto"/>
        <w:left w:val="none" w:sz="0" w:space="0" w:color="auto"/>
        <w:bottom w:val="none" w:sz="0" w:space="0" w:color="auto"/>
        <w:right w:val="none" w:sz="0" w:space="0" w:color="auto"/>
      </w:divBdr>
      <w:divsChild>
        <w:div w:id="65228010">
          <w:marLeft w:val="1080"/>
          <w:marRight w:val="0"/>
          <w:marTop w:val="100"/>
          <w:marBottom w:val="0"/>
          <w:divBdr>
            <w:top w:val="none" w:sz="0" w:space="0" w:color="auto"/>
            <w:left w:val="none" w:sz="0" w:space="0" w:color="auto"/>
            <w:bottom w:val="none" w:sz="0" w:space="0" w:color="auto"/>
            <w:right w:val="none" w:sz="0" w:space="0" w:color="auto"/>
          </w:divBdr>
        </w:div>
        <w:div w:id="955020471">
          <w:marLeft w:val="1080"/>
          <w:marRight w:val="0"/>
          <w:marTop w:val="100"/>
          <w:marBottom w:val="0"/>
          <w:divBdr>
            <w:top w:val="none" w:sz="0" w:space="0" w:color="auto"/>
            <w:left w:val="none" w:sz="0" w:space="0" w:color="auto"/>
            <w:bottom w:val="none" w:sz="0" w:space="0" w:color="auto"/>
            <w:right w:val="none" w:sz="0" w:space="0" w:color="auto"/>
          </w:divBdr>
        </w:div>
        <w:div w:id="957637723">
          <w:marLeft w:val="1800"/>
          <w:marRight w:val="0"/>
          <w:marTop w:val="100"/>
          <w:marBottom w:val="0"/>
          <w:divBdr>
            <w:top w:val="none" w:sz="0" w:space="0" w:color="auto"/>
            <w:left w:val="none" w:sz="0" w:space="0" w:color="auto"/>
            <w:bottom w:val="none" w:sz="0" w:space="0" w:color="auto"/>
            <w:right w:val="none" w:sz="0" w:space="0" w:color="auto"/>
          </w:divBdr>
        </w:div>
        <w:div w:id="168375214">
          <w:marLeft w:val="1800"/>
          <w:marRight w:val="0"/>
          <w:marTop w:val="100"/>
          <w:marBottom w:val="0"/>
          <w:divBdr>
            <w:top w:val="none" w:sz="0" w:space="0" w:color="auto"/>
            <w:left w:val="none" w:sz="0" w:space="0" w:color="auto"/>
            <w:bottom w:val="none" w:sz="0" w:space="0" w:color="auto"/>
            <w:right w:val="none" w:sz="0" w:space="0" w:color="auto"/>
          </w:divBdr>
        </w:div>
        <w:div w:id="603535356">
          <w:marLeft w:val="2520"/>
          <w:marRight w:val="0"/>
          <w:marTop w:val="100"/>
          <w:marBottom w:val="0"/>
          <w:divBdr>
            <w:top w:val="none" w:sz="0" w:space="0" w:color="auto"/>
            <w:left w:val="none" w:sz="0" w:space="0" w:color="auto"/>
            <w:bottom w:val="none" w:sz="0" w:space="0" w:color="auto"/>
            <w:right w:val="none" w:sz="0" w:space="0" w:color="auto"/>
          </w:divBdr>
        </w:div>
        <w:div w:id="1681348536">
          <w:marLeft w:val="180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366FE-0217-4854-99E2-8E13EC57B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1774</Words>
  <Characters>10115</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cp:revision>
  <dcterms:created xsi:type="dcterms:W3CDTF">2017-10-02T17:21:00Z</dcterms:created>
  <dcterms:modified xsi:type="dcterms:W3CDTF">2017-10-03T02:53:00Z</dcterms:modified>
</cp:coreProperties>
</file>